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10" w:rsidRDefault="003E6A10" w:rsidP="003E6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13768" w:rsidRPr="003E6A10" w:rsidRDefault="003E6A10" w:rsidP="003E6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13768" w:rsidRDefault="00813768" w:rsidP="00813768">
      <w:pPr>
        <w:spacing w:line="240" w:lineRule="auto"/>
        <w:rPr>
          <w:rFonts w:ascii="Calibri" w:eastAsia="Times New Roman" w:hAnsi="Calibri" w:cs="Times New Roman"/>
        </w:rPr>
      </w:pP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от 29 января 2014 года  № 82</w:t>
      </w: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формирования бюджета   для   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1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Пугачева</w:t>
      </w:r>
    </w:p>
    <w:p w:rsidR="00813768" w:rsidRDefault="00813768" w:rsidP="0081376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768" w:rsidRPr="00FF1A8E" w:rsidRDefault="00813768" w:rsidP="00813768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Бюджетного послания Президента Российской Федерации о бюджетной политике в 2014-2016 годах, в соответствии с соглашением о передаче осуществления части своих полномочий органами местного самоуправления муниципального образования города Пугачева органам местного самоуправления Пугачевского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A8E">
        <w:rPr>
          <w:rFonts w:ascii="Times New Roman" w:eastAsia="Times New Roman" w:hAnsi="Times New Roman" w:cs="Times New Roman"/>
          <w:sz w:val="28"/>
          <w:szCs w:val="28"/>
        </w:rPr>
        <w:t>29 декабря 2012 года,  руководствуясь Уставом Пугачевского муниципального района, администрация Пугачевского муниципального района  ПОСТАНОВЛЯЕТ:</w:t>
      </w:r>
      <w:proofErr w:type="gramEnd"/>
    </w:p>
    <w:p w:rsidR="00813768" w:rsidRPr="00FF1A8E" w:rsidRDefault="00813768" w:rsidP="00813768">
      <w:pPr>
        <w:tabs>
          <w:tab w:val="left" w:pos="1005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>1. Установить, что:</w:t>
      </w:r>
    </w:p>
    <w:p w:rsidR="00813768" w:rsidRPr="00FF1A8E" w:rsidRDefault="00813768" w:rsidP="00813768">
      <w:pPr>
        <w:tabs>
          <w:tab w:val="left" w:pos="1005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 по подготовке бюджета муниципального образования города Пугачева  и отчетов о его исполнении  является финансовое управление администрации Пугачевского муниципального района; </w:t>
      </w: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>бюджет для граждан составляется на основе решения Совета муниципального образования города Пугачева:</w:t>
      </w: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 о бюджете муниципального образования города Пугачева на очередной  финансовый год и внесении изменений в бюджет;</w:t>
      </w:r>
    </w:p>
    <w:p w:rsidR="00813768" w:rsidRPr="00FF1A8E" w:rsidRDefault="00813768" w:rsidP="00813768">
      <w:pPr>
        <w:tabs>
          <w:tab w:val="left" w:pos="0"/>
        </w:tabs>
        <w:autoSpaceDE w:val="0"/>
        <w:autoSpaceDN w:val="0"/>
        <w:adjustRightInd w:val="0"/>
        <w:spacing w:after="0" w:line="24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             об исполнении  бюджета муниципального образования города Пугачева за отчетный финансовый год;</w:t>
      </w:r>
    </w:p>
    <w:p w:rsidR="00813768" w:rsidRPr="00FF1A8E" w:rsidRDefault="00813768" w:rsidP="00813768">
      <w:pPr>
        <w:tabs>
          <w:tab w:val="left" w:pos="1005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>публикация бюджета для граждан осуществляется в следующие сроки:</w:t>
      </w:r>
    </w:p>
    <w:p w:rsidR="00813768" w:rsidRPr="00FF1A8E" w:rsidRDefault="00813768" w:rsidP="00813768">
      <w:pPr>
        <w:tabs>
          <w:tab w:val="left" w:pos="0"/>
        </w:tabs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FF1A8E">
        <w:rPr>
          <w:rFonts w:ascii="Times New Roman" w:eastAsia="Times New Roman" w:hAnsi="Times New Roman" w:cs="Times New Roman"/>
          <w:sz w:val="28"/>
          <w:szCs w:val="28"/>
        </w:rPr>
        <w:t>по бюджету муниципального образования города Пугачева на очередной финансовый год  – одновременно с опубликованием решения Совета муниципального образования города Пугачева о бюджете на очередной</w:t>
      </w:r>
      <w:proofErr w:type="gramEnd"/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 финансовый год;</w:t>
      </w:r>
    </w:p>
    <w:p w:rsidR="00813768" w:rsidRPr="00FF1A8E" w:rsidRDefault="00813768" w:rsidP="00813768">
      <w:pPr>
        <w:tabs>
          <w:tab w:val="left" w:pos="0"/>
        </w:tabs>
        <w:autoSpaceDE w:val="0"/>
        <w:autoSpaceDN w:val="0"/>
        <w:adjustRightInd w:val="0"/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           по отчету об исполнении бюджета муниципального образования города Пугачева за отчетный финансовый год – одновременно с опубликованием решения Совета муниципального образования города Пугачева об исполнении бюджета муниципального образования города Пугачева за отчетный финансовый год.</w:t>
      </w: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>2.Установить, что ответственность за публикацию:</w:t>
      </w: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бюджете, внесения изменений и дополнений в бюджет и решения об исполнении за год в доступной для широкого круга заинтересованных пользователей форме (далее - бюджет для граждан)  несет Совет муниципального образования города Пугачева;</w:t>
      </w: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для граждан,  внесения изменений и дополнений в бюджет для граждан и решения о его исполнении за год в информационно – телекоммуникационной сети Интернет в доступной для широкого круга заинтересованных пользователей форме несет финансовое управление администрации Пугачевского муниципального района.  </w:t>
      </w:r>
      <w:proofErr w:type="gramEnd"/>
    </w:p>
    <w:p w:rsidR="00813768" w:rsidRPr="00FF1A8E" w:rsidRDefault="00813768" w:rsidP="00813768">
      <w:pPr>
        <w:tabs>
          <w:tab w:val="left" w:pos="1005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F1A8E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813768" w:rsidRPr="00FF1A8E" w:rsidRDefault="00813768" w:rsidP="00813768">
      <w:pPr>
        <w:tabs>
          <w:tab w:val="left" w:pos="1005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 состав межведомственной рабочей группы по мониторингу материалов, представленных для включения в бюджет для граждан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A8E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813768" w:rsidRPr="00FF1A8E" w:rsidRDefault="00813768" w:rsidP="00813768">
      <w:pPr>
        <w:tabs>
          <w:tab w:val="left" w:pos="1005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pacing w:val="-4"/>
          <w:sz w:val="28"/>
          <w:szCs w:val="28"/>
        </w:rPr>
        <w:t>перечень показателей, используемых при подготовке б</w:t>
      </w:r>
      <w:r w:rsidRPr="00FF1A8E">
        <w:rPr>
          <w:rFonts w:ascii="Times New Roman" w:eastAsia="Times New Roman" w:hAnsi="Times New Roman" w:cs="Times New Roman"/>
          <w:sz w:val="28"/>
          <w:szCs w:val="28"/>
        </w:rPr>
        <w:t>юджета для граждан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1A8E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813768" w:rsidRPr="00FF1A8E" w:rsidRDefault="00813768" w:rsidP="00813768">
      <w:pPr>
        <w:tabs>
          <w:tab w:val="left" w:pos="1005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pacing w:val="-4"/>
          <w:sz w:val="28"/>
          <w:szCs w:val="28"/>
        </w:rPr>
        <w:t>план мероприятий по подготовке б</w:t>
      </w:r>
      <w:r w:rsidRPr="00FF1A8E">
        <w:rPr>
          <w:rFonts w:ascii="Times New Roman" w:eastAsia="Times New Roman" w:hAnsi="Times New Roman" w:cs="Times New Roman"/>
          <w:sz w:val="28"/>
          <w:szCs w:val="28"/>
        </w:rPr>
        <w:t>юджета для граждан согласно приложению № 3.</w:t>
      </w:r>
    </w:p>
    <w:p w:rsidR="00813768" w:rsidRPr="00FF1A8E" w:rsidRDefault="00813768" w:rsidP="00813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FF1A8E">
        <w:rPr>
          <w:rFonts w:ascii="Times New Roman" w:eastAsia="Times New Roman" w:hAnsi="Times New Roman" w:cs="Times New Roman"/>
          <w:sz w:val="28"/>
          <w:szCs w:val="28"/>
        </w:rPr>
        <w:t>информа-ционно-телекоммуникационной</w:t>
      </w:r>
      <w:proofErr w:type="spellEnd"/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Интернет.</w:t>
      </w:r>
    </w:p>
    <w:p w:rsidR="00813768" w:rsidRPr="00FF1A8E" w:rsidRDefault="00813768" w:rsidP="00813768">
      <w:pPr>
        <w:tabs>
          <w:tab w:val="left" w:pos="1005"/>
        </w:tabs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768" w:rsidRDefault="00813768" w:rsidP="00813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A10" w:rsidRPr="00FF1A8E" w:rsidRDefault="003E6A10" w:rsidP="00813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F1A8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F1A8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</w:t>
      </w:r>
      <w:r w:rsidR="003E6A1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FF1A8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С.А.Сидоров</w:t>
      </w:r>
    </w:p>
    <w:p w:rsidR="00813768" w:rsidRPr="00FF1A8E" w:rsidRDefault="00813768" w:rsidP="00813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3768" w:rsidRPr="00565A5C" w:rsidRDefault="00813768" w:rsidP="00813768">
      <w:pPr>
        <w:rPr>
          <w:rFonts w:ascii="Calibri" w:eastAsia="Times New Roman" w:hAnsi="Calibri" w:cs="Times New Roman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A10" w:rsidRDefault="003E6A10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A10" w:rsidRDefault="003E6A10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A10" w:rsidRDefault="003E6A10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A10" w:rsidRDefault="003E6A10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A10" w:rsidRDefault="003E6A10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A10" w:rsidRDefault="003E6A10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A10" w:rsidRDefault="003E6A10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A10" w:rsidRDefault="003E6A10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A10" w:rsidRDefault="003E6A10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Pr="006F632D" w:rsidRDefault="00813768" w:rsidP="008137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</w:t>
      </w:r>
      <w:r w:rsidRPr="006F632D">
        <w:rPr>
          <w:rFonts w:ascii="Times New Roman" w:hAnsi="Times New Roman"/>
          <w:sz w:val="28"/>
          <w:szCs w:val="28"/>
        </w:rPr>
        <w:t>Приложение № 1 к постановлению</w:t>
      </w:r>
    </w:p>
    <w:p w:rsidR="00813768" w:rsidRPr="006F632D" w:rsidRDefault="00813768" w:rsidP="008137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F632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6F632D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813768" w:rsidRPr="006F632D" w:rsidRDefault="00813768" w:rsidP="008137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F632D">
        <w:rPr>
          <w:rFonts w:ascii="Times New Roman" w:hAnsi="Times New Roman"/>
          <w:sz w:val="28"/>
          <w:szCs w:val="28"/>
        </w:rPr>
        <w:t>муниципального  района</w:t>
      </w:r>
    </w:p>
    <w:p w:rsidR="00813768" w:rsidRPr="006F632D" w:rsidRDefault="00813768" w:rsidP="008137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F63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 января </w:t>
      </w:r>
      <w:r w:rsidRPr="006F632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6F632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82</w:t>
      </w:r>
    </w:p>
    <w:p w:rsidR="00813768" w:rsidRPr="006F632D" w:rsidRDefault="00813768" w:rsidP="0081376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13768" w:rsidRPr="006F632D" w:rsidRDefault="00813768" w:rsidP="00813768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813768" w:rsidRPr="006F632D" w:rsidRDefault="00813768" w:rsidP="00813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32D">
        <w:rPr>
          <w:rFonts w:ascii="Times New Roman" w:hAnsi="Times New Roman"/>
          <w:b/>
          <w:sz w:val="28"/>
          <w:szCs w:val="28"/>
        </w:rPr>
        <w:t>Межведомственная рабочая группа по мониторингу материалов,</w:t>
      </w:r>
    </w:p>
    <w:p w:rsidR="00813768" w:rsidRDefault="00813768" w:rsidP="00813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632D">
        <w:rPr>
          <w:rFonts w:ascii="Times New Roman" w:hAnsi="Times New Roman"/>
          <w:b/>
          <w:sz w:val="28"/>
          <w:szCs w:val="28"/>
        </w:rPr>
        <w:t>представленных для включения в бюджет для граждан</w:t>
      </w:r>
      <w:proofErr w:type="gramEnd"/>
    </w:p>
    <w:p w:rsidR="00813768" w:rsidRDefault="00813768" w:rsidP="00813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3768" w:rsidRDefault="00813768" w:rsidP="00813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68" w:rsidRDefault="00813768" w:rsidP="0081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Шевченко С.Ю. – заместитель главы администрации Пугачевского муниципального района по промышленности, торговле и экономическому развитию, руководитель группы;</w:t>
      </w:r>
    </w:p>
    <w:p w:rsidR="00813768" w:rsidRDefault="00813768" w:rsidP="0081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Водолазова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– начальник финансового управления администрации Пугачевского муниципального района, заместитель руководителя рабочей группы.</w:t>
      </w:r>
    </w:p>
    <w:p w:rsidR="00813768" w:rsidRDefault="00813768" w:rsidP="00813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группы:</w:t>
      </w:r>
    </w:p>
    <w:p w:rsidR="00813768" w:rsidRPr="006F632D" w:rsidRDefault="00813768" w:rsidP="008137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768" w:rsidRPr="001E5F69" w:rsidRDefault="00813768" w:rsidP="0081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Балдин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В.С. – начальник юридического отдела администрации Пугачевского муниципального района;</w:t>
      </w:r>
    </w:p>
    <w:p w:rsidR="00813768" w:rsidRDefault="00813768" w:rsidP="0081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 w:rsidRPr="006F632D">
        <w:rPr>
          <w:rFonts w:ascii="Times New Roman" w:hAnsi="Times New Roman"/>
          <w:sz w:val="28"/>
          <w:szCs w:val="28"/>
        </w:rPr>
        <w:t>Басенин</w:t>
      </w:r>
      <w:proofErr w:type="spellEnd"/>
      <w:r w:rsidRPr="006F632D">
        <w:rPr>
          <w:rFonts w:ascii="Times New Roman" w:hAnsi="Times New Roman"/>
          <w:sz w:val="28"/>
          <w:szCs w:val="28"/>
        </w:rPr>
        <w:t xml:space="preserve"> В.Е.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32D">
        <w:rPr>
          <w:rFonts w:ascii="Times New Roman" w:hAnsi="Times New Roman"/>
          <w:sz w:val="28"/>
          <w:szCs w:val="28"/>
        </w:rPr>
        <w:t>– начальник отдела строительства и архитектуры администрации Пугачевского муниципального района;</w:t>
      </w:r>
    </w:p>
    <w:p w:rsidR="00813768" w:rsidRDefault="00813768" w:rsidP="0081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Копылова Л.В. – начальник отдела по учету и отчетности администрации Пугачевского муниципального района;</w:t>
      </w:r>
    </w:p>
    <w:p w:rsidR="00813768" w:rsidRDefault="00813768" w:rsidP="0081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Кувшинова О.Н. – начальник бюджетного отдела финансового управления Пугачевского муниципального района;</w:t>
      </w:r>
    </w:p>
    <w:p w:rsidR="00813768" w:rsidRDefault="00813768" w:rsidP="0081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Новикова Л.Н. – заместитель главы администрации Пугачевского муниципального района по социальным вопросам;</w:t>
      </w:r>
    </w:p>
    <w:p w:rsidR="00813768" w:rsidRDefault="00813768" w:rsidP="0081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Путина О.М. – начальник отдела экономического развития, промышленности и торговли администрации Пугачевского муниципального района;</w:t>
      </w:r>
    </w:p>
    <w:p w:rsidR="00813768" w:rsidRDefault="00813768" w:rsidP="0081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Шувакин А.Н. – начальник отдела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политики, транспорта и связи администрации Пугачевского муниципального района</w:t>
      </w:r>
      <w:r w:rsidRPr="001E5F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района.</w:t>
      </w:r>
    </w:p>
    <w:p w:rsidR="00813768" w:rsidRDefault="00813768" w:rsidP="0081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768" w:rsidRDefault="00813768" w:rsidP="00813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768" w:rsidRDefault="00813768" w:rsidP="00813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68" w:rsidRPr="006F632D" w:rsidRDefault="00813768" w:rsidP="008137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13768" w:rsidSect="00042302">
          <w:pgSz w:w="11906" w:h="16838"/>
          <w:pgMar w:top="851" w:right="680" w:bottom="737" w:left="1701" w:header="709" w:footer="709" w:gutter="0"/>
          <w:cols w:space="708"/>
          <w:docGrid w:linePitch="360"/>
        </w:sectPr>
      </w:pPr>
    </w:p>
    <w:p w:rsidR="00813768" w:rsidRPr="00FF1A8E" w:rsidRDefault="00813768" w:rsidP="00813768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813768" w:rsidRPr="00FF1A8E" w:rsidRDefault="00813768" w:rsidP="00813768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F1A8E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3768" w:rsidRPr="00FF1A8E" w:rsidRDefault="00813768" w:rsidP="00813768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13768" w:rsidRPr="00FF1A8E" w:rsidRDefault="00813768" w:rsidP="00813768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29 января </w:t>
      </w:r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2014 года №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</w:p>
    <w:p w:rsidR="00813768" w:rsidRPr="00FF1A8E" w:rsidRDefault="00813768" w:rsidP="0081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768" w:rsidRDefault="00813768" w:rsidP="00813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показателей, используемых при подготовке бюджета муниципального  </w:t>
      </w:r>
    </w:p>
    <w:p w:rsidR="00813768" w:rsidRPr="00FF1A8E" w:rsidRDefault="00813768" w:rsidP="008137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  для граждан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5387"/>
        <w:gridCol w:w="1560"/>
        <w:gridCol w:w="6972"/>
      </w:tblGrid>
      <w:tr w:rsidR="00813768" w:rsidRPr="00FF1A8E" w:rsidTr="008E70C5">
        <w:trPr>
          <w:tblHeader/>
        </w:trPr>
        <w:tc>
          <w:tcPr>
            <w:tcW w:w="682" w:type="dxa"/>
            <w:vAlign w:val="center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A8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1A8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1A8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Align w:val="center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1A8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F1A8E">
              <w:rPr>
                <w:rFonts w:ascii="Times New Roman" w:eastAsia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FF1A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2" w:type="dxa"/>
            <w:vAlign w:val="center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A8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информации для расчета показателя</w:t>
            </w:r>
          </w:p>
        </w:tc>
      </w:tr>
      <w:tr w:rsidR="00813768" w:rsidRPr="00FF1A8E" w:rsidTr="008E70C5">
        <w:tc>
          <w:tcPr>
            <w:tcW w:w="682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доходов местного бюджета в расчете на 1 жителя</w:t>
            </w:r>
          </w:p>
        </w:tc>
        <w:tc>
          <w:tcPr>
            <w:tcW w:w="1560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72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ешение представительного органа муниципального образования о местном бюджете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13768" w:rsidRPr="00FF1A8E" w:rsidRDefault="00813768" w:rsidP="008E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показатель 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«Численность населения» предусмотрен постановлением Правительства Российской Федерации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декабря 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2012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ода 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№1317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13768" w:rsidRPr="00FF1A8E" w:rsidTr="008E70C5">
        <w:tc>
          <w:tcPr>
            <w:tcW w:w="682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расходов местного бюджета в расчете на 1 жителя</w:t>
            </w:r>
          </w:p>
        </w:tc>
        <w:tc>
          <w:tcPr>
            <w:tcW w:w="1560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72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ешение представительного органа муниципального образования о местном бюджете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13768" w:rsidRPr="00FF1A8E" w:rsidTr="008E70C5">
        <w:tc>
          <w:tcPr>
            <w:tcW w:w="682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813768" w:rsidRPr="00FF1A8E" w:rsidRDefault="00813768" w:rsidP="008E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560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72" w:type="dxa"/>
          </w:tcPr>
          <w:p w:rsidR="00813768" w:rsidRPr="00FF1A8E" w:rsidRDefault="00813768" w:rsidP="008E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ешение представительного органа муниципального образования о местном бюджете (расходы по разделу «Жилищно-коммунальное хозяйство»)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13768" w:rsidRPr="00FF1A8E" w:rsidTr="008E70C5">
        <w:tc>
          <w:tcPr>
            <w:tcW w:w="682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813768" w:rsidRPr="00FF1A8E" w:rsidRDefault="00813768" w:rsidP="008E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расходов местного бюджета на культуру и кинематографию в расчете на 1 жителя</w:t>
            </w:r>
          </w:p>
        </w:tc>
        <w:tc>
          <w:tcPr>
            <w:tcW w:w="1560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72" w:type="dxa"/>
          </w:tcPr>
          <w:p w:rsidR="00813768" w:rsidRPr="00FF1A8E" w:rsidRDefault="00813768" w:rsidP="008E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ешение представительного органа муниципального образования о местном бюджете (расходы по разделу «Культура, кинематография»)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13768" w:rsidRPr="00FF1A8E" w:rsidTr="008E70C5">
        <w:tc>
          <w:tcPr>
            <w:tcW w:w="682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813768" w:rsidRPr="00FF1A8E" w:rsidRDefault="00813768" w:rsidP="008E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расходов местного бюджета на социальную политику в расчете на 1 жителя</w:t>
            </w:r>
          </w:p>
        </w:tc>
        <w:tc>
          <w:tcPr>
            <w:tcW w:w="1560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72" w:type="dxa"/>
          </w:tcPr>
          <w:p w:rsidR="00813768" w:rsidRPr="00FF1A8E" w:rsidRDefault="00813768" w:rsidP="008E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ешение представительного органа муниципального образования о местном бюджете (расходы по разделу «Социальная политика»)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13768" w:rsidRPr="00FF1A8E" w:rsidTr="008E70C5">
        <w:tc>
          <w:tcPr>
            <w:tcW w:w="682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813768" w:rsidRPr="00FF1A8E" w:rsidRDefault="00813768" w:rsidP="008E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расходов местного бюджета на физическую культуру и спорт в расчете на 1 жителя</w:t>
            </w:r>
          </w:p>
        </w:tc>
        <w:tc>
          <w:tcPr>
            <w:tcW w:w="1560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72" w:type="dxa"/>
          </w:tcPr>
          <w:p w:rsidR="00813768" w:rsidRPr="00FF1A8E" w:rsidRDefault="00813768" w:rsidP="008E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ешение представительного органа муниципального образования о местном бюджете (расходы по разделу «Физическая культура и спорт»)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13768" w:rsidRPr="00FF1A8E" w:rsidTr="008E70C5">
        <w:tc>
          <w:tcPr>
            <w:tcW w:w="682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</w:tcPr>
          <w:p w:rsidR="00813768" w:rsidRPr="00FF1A8E" w:rsidRDefault="00813768" w:rsidP="008E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972" w:type="dxa"/>
          </w:tcPr>
          <w:p w:rsidR="00813768" w:rsidRPr="00FF1A8E" w:rsidRDefault="00813768" w:rsidP="008E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оказатель предусмотрен Указом Президента Российской Федерации от 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апреля 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2008 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ода 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F1A8E">
              <w:rPr>
                <w:rFonts w:ascii="Times New Roman" w:eastAsia="Times New Roman" w:hAnsi="Times New Roman" w:cs="Times New Roman"/>
                <w:sz w:val="26"/>
                <w:szCs w:val="26"/>
              </w:rPr>
              <w:t>607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13768" w:rsidRDefault="00813768" w:rsidP="00813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3768" w:rsidRPr="00FF1A8E" w:rsidRDefault="00813768" w:rsidP="00813768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постановлению  администрации  Пугачевского муниципального  района</w:t>
      </w:r>
    </w:p>
    <w:p w:rsidR="00813768" w:rsidRPr="00FF1A8E" w:rsidRDefault="00813768" w:rsidP="00813768">
      <w:pPr>
        <w:spacing w:after="0" w:line="240" w:lineRule="auto"/>
        <w:ind w:left="9498" w:firstLine="414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29 января </w:t>
      </w:r>
      <w:r w:rsidRPr="00FF1A8E">
        <w:rPr>
          <w:rFonts w:ascii="Times New Roman" w:eastAsia="Times New Roman" w:hAnsi="Times New Roman" w:cs="Times New Roman"/>
          <w:sz w:val="28"/>
          <w:szCs w:val="28"/>
        </w:rPr>
        <w:t xml:space="preserve">2014 года №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</w:p>
    <w:p w:rsidR="00813768" w:rsidRPr="00FF1A8E" w:rsidRDefault="00813768" w:rsidP="0081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768" w:rsidRPr="00FF1A8E" w:rsidRDefault="00813768" w:rsidP="00813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768" w:rsidRPr="00FF1A8E" w:rsidRDefault="00813768" w:rsidP="0081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План мероприятий </w:t>
      </w:r>
    </w:p>
    <w:p w:rsidR="00813768" w:rsidRPr="00FF1A8E" w:rsidRDefault="00813768" w:rsidP="00813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1A8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по формированию б</w:t>
      </w:r>
      <w:r w:rsidRPr="00FF1A8E">
        <w:rPr>
          <w:rFonts w:ascii="Times New Roman" w:eastAsia="Times New Roman" w:hAnsi="Times New Roman" w:cs="Times New Roman"/>
          <w:b/>
          <w:sz w:val="28"/>
          <w:szCs w:val="28"/>
        </w:rPr>
        <w:t>юджета для граждан</w:t>
      </w:r>
    </w:p>
    <w:p w:rsidR="00813768" w:rsidRPr="00FF1A8E" w:rsidRDefault="00813768" w:rsidP="0081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76" w:type="dxa"/>
        <w:tblLayout w:type="fixed"/>
        <w:tblLook w:val="01E0"/>
      </w:tblPr>
      <w:tblGrid>
        <w:gridCol w:w="709"/>
        <w:gridCol w:w="7513"/>
        <w:gridCol w:w="2127"/>
        <w:gridCol w:w="4677"/>
      </w:tblGrid>
      <w:tr w:rsidR="00813768" w:rsidRPr="00FF1A8E" w:rsidTr="008E70C5">
        <w:trPr>
          <w:trHeight w:val="90"/>
          <w:tblHeader/>
        </w:trPr>
        <w:tc>
          <w:tcPr>
            <w:tcW w:w="709" w:type="dxa"/>
            <w:vAlign w:val="center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1A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1A8E">
              <w:rPr>
                <w:sz w:val="24"/>
                <w:szCs w:val="24"/>
              </w:rPr>
              <w:t>/</w:t>
            </w:r>
            <w:proofErr w:type="spellStart"/>
            <w:r w:rsidRPr="00FF1A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127" w:type="dxa"/>
            <w:vAlign w:val="center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Ответственные</w:t>
            </w:r>
          </w:p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исполнители</w:t>
            </w:r>
          </w:p>
        </w:tc>
        <w:tc>
          <w:tcPr>
            <w:tcW w:w="467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Срок представления</w:t>
            </w:r>
          </w:p>
        </w:tc>
      </w:tr>
      <w:tr w:rsidR="00813768" w:rsidRPr="00FF1A8E" w:rsidTr="008E70C5">
        <w:trPr>
          <w:trHeight w:val="90"/>
        </w:trPr>
        <w:tc>
          <w:tcPr>
            <w:tcW w:w="709" w:type="dxa"/>
            <w:vAlign w:val="center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  <w:lang w:val="en-US"/>
              </w:rPr>
              <w:t>1</w:t>
            </w:r>
            <w:r w:rsidRPr="00FF1A8E">
              <w:rPr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3"/>
            <w:vAlign w:val="center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 xml:space="preserve">Формирование бюджета для граждан на основе принятого решения Совета  муниципального образования города Пугачева  о  бюджете на очередной финансовый год </w:t>
            </w:r>
          </w:p>
        </w:tc>
      </w:tr>
      <w:tr w:rsidR="00813768" w:rsidRPr="00FF1A8E" w:rsidTr="008E70C5">
        <w:trPr>
          <w:trHeight w:val="90"/>
        </w:trPr>
        <w:tc>
          <w:tcPr>
            <w:tcW w:w="709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 xml:space="preserve">Подготовка и направление в финансовое управление администрации Пугачевского муниципального района информации, отражаемой в бюджете для граждан, на очередной финансовый год на основе решения о бюджете муниципального образования города Пугачева на очередной финансовый год </w:t>
            </w:r>
          </w:p>
        </w:tc>
        <w:tc>
          <w:tcPr>
            <w:tcW w:w="212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 xml:space="preserve">отраслевые отделы администрации района </w:t>
            </w:r>
          </w:p>
        </w:tc>
        <w:tc>
          <w:tcPr>
            <w:tcW w:w="467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 xml:space="preserve">в 2013 году – не позднее 20 января </w:t>
            </w:r>
            <w:r>
              <w:rPr>
                <w:sz w:val="24"/>
                <w:szCs w:val="24"/>
              </w:rPr>
              <w:t xml:space="preserve">      </w:t>
            </w:r>
            <w:r w:rsidRPr="00FF1A8E">
              <w:rPr>
                <w:sz w:val="24"/>
                <w:szCs w:val="24"/>
              </w:rPr>
              <w:t>2014 года,</w:t>
            </w:r>
          </w:p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начиная с 2014 года – в течение 2-х рабочих дней со дня принятия решения Совета муниципального образования города Пугачева о  бюджете на очередной финансовый год</w:t>
            </w:r>
            <w:r>
              <w:rPr>
                <w:sz w:val="24"/>
                <w:szCs w:val="24"/>
              </w:rPr>
              <w:t>;</w:t>
            </w:r>
            <w:r w:rsidRPr="00FF1A8E">
              <w:rPr>
                <w:sz w:val="24"/>
                <w:szCs w:val="24"/>
              </w:rPr>
              <w:t xml:space="preserve"> </w:t>
            </w:r>
          </w:p>
        </w:tc>
      </w:tr>
      <w:tr w:rsidR="00813768" w:rsidRPr="00FF1A8E" w:rsidTr="008E70C5">
        <w:trPr>
          <w:trHeight w:val="90"/>
        </w:trPr>
        <w:tc>
          <w:tcPr>
            <w:tcW w:w="709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Рассмотрение на заседании межведомственной рабочей группы по мониторингу информации и  материалов, представленных для включения в бюджет для граждан (далее – рабочая группа)</w:t>
            </w:r>
          </w:p>
        </w:tc>
        <w:tc>
          <w:tcPr>
            <w:tcW w:w="212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 xml:space="preserve">в 2013 году – не позднее 21 января </w:t>
            </w:r>
            <w:r>
              <w:rPr>
                <w:sz w:val="24"/>
                <w:szCs w:val="24"/>
              </w:rPr>
              <w:t xml:space="preserve">      </w:t>
            </w:r>
            <w:r w:rsidRPr="00FF1A8E">
              <w:rPr>
                <w:sz w:val="24"/>
                <w:szCs w:val="24"/>
              </w:rPr>
              <w:t>2014 года,</w:t>
            </w:r>
          </w:p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 xml:space="preserve">начиная с 2014 года – в течение 5-ти рабочих дней со дня принятия решения Совета муниципального образования города Пугачева о бюджете </w:t>
            </w:r>
            <w:r>
              <w:rPr>
                <w:sz w:val="24"/>
                <w:szCs w:val="24"/>
              </w:rPr>
              <w:t>на очередной финансовый год;</w:t>
            </w:r>
            <w:r w:rsidRPr="00FF1A8E">
              <w:rPr>
                <w:sz w:val="24"/>
                <w:szCs w:val="24"/>
              </w:rPr>
              <w:t xml:space="preserve"> </w:t>
            </w:r>
          </w:p>
        </w:tc>
      </w:tr>
      <w:tr w:rsidR="00813768" w:rsidRPr="00FF1A8E" w:rsidTr="008E70C5">
        <w:trPr>
          <w:trHeight w:val="90"/>
        </w:trPr>
        <w:tc>
          <w:tcPr>
            <w:tcW w:w="709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 xml:space="preserve">Подготовка бюджета для граждан на очередной финансовый год </w:t>
            </w:r>
          </w:p>
        </w:tc>
        <w:tc>
          <w:tcPr>
            <w:tcW w:w="212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 xml:space="preserve"> финансовое управление</w:t>
            </w:r>
          </w:p>
        </w:tc>
        <w:tc>
          <w:tcPr>
            <w:tcW w:w="467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в 2013 году – не позднее 27</w:t>
            </w:r>
            <w:r w:rsidRPr="00FF1A8E">
              <w:rPr>
                <w:color w:val="FF0000"/>
                <w:sz w:val="24"/>
                <w:szCs w:val="24"/>
              </w:rPr>
              <w:t xml:space="preserve"> </w:t>
            </w:r>
            <w:r w:rsidRPr="00FF1A8E">
              <w:rPr>
                <w:sz w:val="24"/>
                <w:szCs w:val="24"/>
              </w:rPr>
              <w:t xml:space="preserve">января </w:t>
            </w:r>
            <w:r>
              <w:rPr>
                <w:sz w:val="24"/>
                <w:szCs w:val="24"/>
              </w:rPr>
              <w:t xml:space="preserve">        </w:t>
            </w:r>
            <w:r w:rsidRPr="00FF1A8E">
              <w:rPr>
                <w:sz w:val="24"/>
                <w:szCs w:val="24"/>
              </w:rPr>
              <w:t>2014 года,</w:t>
            </w:r>
          </w:p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начиная с 2014 года – не позднее 10-ти рабочих дней со дня принятия решения Совета муниципального образования города Пугачева о бюджете на очередной финансовый год</w:t>
            </w:r>
            <w:r>
              <w:rPr>
                <w:sz w:val="24"/>
                <w:szCs w:val="24"/>
              </w:rPr>
              <w:t>;</w:t>
            </w:r>
            <w:r w:rsidRPr="00FF1A8E">
              <w:rPr>
                <w:sz w:val="24"/>
                <w:szCs w:val="24"/>
              </w:rPr>
              <w:t xml:space="preserve">  </w:t>
            </w:r>
          </w:p>
        </w:tc>
      </w:tr>
      <w:tr w:rsidR="00813768" w:rsidRPr="00FF1A8E" w:rsidTr="008E70C5">
        <w:trPr>
          <w:trHeight w:val="90"/>
        </w:trPr>
        <w:tc>
          <w:tcPr>
            <w:tcW w:w="709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Публикация бюджета для граждан на очередной финансовый год в информационно-телекоммуникационной сети Интернет</w:t>
            </w:r>
          </w:p>
        </w:tc>
        <w:tc>
          <w:tcPr>
            <w:tcW w:w="212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467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одновременно с опубликованием в средствах массовой информации решения</w:t>
            </w:r>
            <w:r>
              <w:rPr>
                <w:sz w:val="24"/>
                <w:szCs w:val="24"/>
              </w:rPr>
              <w:t>;</w:t>
            </w:r>
            <w:r w:rsidRPr="00FF1A8E">
              <w:rPr>
                <w:sz w:val="24"/>
                <w:szCs w:val="24"/>
              </w:rPr>
              <w:t xml:space="preserve"> </w:t>
            </w:r>
            <w:r w:rsidRPr="00FF1A8E">
              <w:rPr>
                <w:sz w:val="24"/>
                <w:szCs w:val="24"/>
              </w:rPr>
              <w:lastRenderedPageBreak/>
              <w:t>Совета муниципального образования города Пугачева о бюджете на очередной финансовый год</w:t>
            </w:r>
            <w:r>
              <w:rPr>
                <w:sz w:val="24"/>
                <w:szCs w:val="24"/>
              </w:rPr>
              <w:t>;</w:t>
            </w:r>
            <w:r w:rsidRPr="00FF1A8E">
              <w:rPr>
                <w:sz w:val="24"/>
                <w:szCs w:val="24"/>
              </w:rPr>
              <w:t xml:space="preserve">  </w:t>
            </w:r>
          </w:p>
        </w:tc>
      </w:tr>
      <w:tr w:rsidR="00813768" w:rsidRPr="00FF1A8E" w:rsidTr="008E70C5">
        <w:trPr>
          <w:trHeight w:val="90"/>
        </w:trPr>
        <w:tc>
          <w:tcPr>
            <w:tcW w:w="709" w:type="dxa"/>
            <w:vAlign w:val="center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7" w:type="dxa"/>
            <w:gridSpan w:val="3"/>
            <w:vAlign w:val="center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Формирование бюджета для граждан на основании отчета об исполнении  бюджета  муниципального образования города Пугачева за отчетный финансовый год</w:t>
            </w:r>
          </w:p>
        </w:tc>
      </w:tr>
      <w:tr w:rsidR="00813768" w:rsidRPr="00FF1A8E" w:rsidTr="008E70C5">
        <w:trPr>
          <w:trHeight w:val="90"/>
        </w:trPr>
        <w:tc>
          <w:tcPr>
            <w:tcW w:w="709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 xml:space="preserve">Подготовка и направление информации отражаемой в бюджете для граждан, на основе внесенного в решения Совета муниципального образования города Пугачева об исполнении бюджета за отчетный финансовый год </w:t>
            </w:r>
          </w:p>
        </w:tc>
        <w:tc>
          <w:tcPr>
            <w:tcW w:w="212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отраслевые отделы администрации района</w:t>
            </w:r>
          </w:p>
        </w:tc>
        <w:tc>
          <w:tcPr>
            <w:tcW w:w="467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не позднее 2-х рабочих дней со дня принятия решения Совета муниципального образования  города Пугачева  об исполнении  бюджета за отчетный финансовый год</w:t>
            </w:r>
            <w:r>
              <w:rPr>
                <w:sz w:val="24"/>
                <w:szCs w:val="24"/>
              </w:rPr>
              <w:t>;</w:t>
            </w:r>
            <w:r w:rsidRPr="00FF1A8E">
              <w:rPr>
                <w:sz w:val="24"/>
                <w:szCs w:val="24"/>
              </w:rPr>
              <w:t xml:space="preserve"> </w:t>
            </w:r>
          </w:p>
        </w:tc>
      </w:tr>
      <w:tr w:rsidR="00813768" w:rsidRPr="00FF1A8E" w:rsidTr="008E70C5">
        <w:trPr>
          <w:trHeight w:val="90"/>
        </w:trPr>
        <w:tc>
          <w:tcPr>
            <w:tcW w:w="709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Рассмотрение на заседании рабочей группы представленной информации об исполнении показателей по установленному перечню</w:t>
            </w:r>
          </w:p>
        </w:tc>
        <w:tc>
          <w:tcPr>
            <w:tcW w:w="212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FF1A8E">
              <w:rPr>
                <w:spacing w:val="-4"/>
                <w:sz w:val="24"/>
                <w:szCs w:val="24"/>
              </w:rPr>
              <w:t xml:space="preserve">не позднее 5-ти рабочих дней со дня принятия </w:t>
            </w:r>
            <w:r w:rsidRPr="00FF1A8E">
              <w:rPr>
                <w:sz w:val="24"/>
                <w:szCs w:val="24"/>
              </w:rPr>
              <w:t>решения Совета муниципального образования города Пугачева</w:t>
            </w:r>
            <w:r w:rsidRPr="00FF1A8E">
              <w:rPr>
                <w:spacing w:val="-4"/>
                <w:sz w:val="24"/>
                <w:szCs w:val="24"/>
              </w:rPr>
              <w:t xml:space="preserve"> об исполнении  бюджета муниципального образования за отчетный финансовый год</w:t>
            </w:r>
            <w:r>
              <w:rPr>
                <w:spacing w:val="-4"/>
                <w:sz w:val="24"/>
                <w:szCs w:val="24"/>
              </w:rPr>
              <w:t>;</w:t>
            </w:r>
          </w:p>
        </w:tc>
      </w:tr>
      <w:tr w:rsidR="00813768" w:rsidRPr="00FF1A8E" w:rsidTr="008E70C5">
        <w:trPr>
          <w:trHeight w:val="90"/>
        </w:trPr>
        <w:tc>
          <w:tcPr>
            <w:tcW w:w="709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Подготовка бюджета для граждан на основании отчета об исполнении бюджета района за отчетный финансовый год</w:t>
            </w:r>
          </w:p>
        </w:tc>
        <w:tc>
          <w:tcPr>
            <w:tcW w:w="212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 xml:space="preserve"> финансовое управление</w:t>
            </w:r>
          </w:p>
        </w:tc>
        <w:tc>
          <w:tcPr>
            <w:tcW w:w="467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не позднее 10-ти рабочих дней со дня принятия решения Совета муниципального образования города Пугачева об исполнении бюджета муниципального образования за отчетный финансовый год</w:t>
            </w:r>
            <w:r>
              <w:rPr>
                <w:sz w:val="24"/>
                <w:szCs w:val="24"/>
              </w:rPr>
              <w:t>;</w:t>
            </w:r>
            <w:r w:rsidRPr="00FF1A8E">
              <w:rPr>
                <w:sz w:val="24"/>
                <w:szCs w:val="24"/>
              </w:rPr>
              <w:t xml:space="preserve"> </w:t>
            </w:r>
          </w:p>
        </w:tc>
      </w:tr>
      <w:tr w:rsidR="00813768" w:rsidRPr="00FF1A8E" w:rsidTr="008E70C5">
        <w:trPr>
          <w:trHeight w:val="90"/>
        </w:trPr>
        <w:tc>
          <w:tcPr>
            <w:tcW w:w="709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2.4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Публикация бюджета для граждан на основании отчета об исполнении бюджета за отчетный финансовый год в информационно-телекоммуникационной сети Интернет</w:t>
            </w:r>
          </w:p>
        </w:tc>
        <w:tc>
          <w:tcPr>
            <w:tcW w:w="212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4677" w:type="dxa"/>
          </w:tcPr>
          <w:p w:rsidR="00813768" w:rsidRPr="00FF1A8E" w:rsidRDefault="00813768" w:rsidP="008E70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1A8E">
              <w:rPr>
                <w:sz w:val="24"/>
                <w:szCs w:val="24"/>
              </w:rPr>
              <w:t>одновременно с опубликованием в средствах массовой информации  решения Совета муниципального образования города Пугачева об исполнении бюджета муниципального образования за отчетный финансовый год</w:t>
            </w:r>
            <w:r>
              <w:rPr>
                <w:sz w:val="24"/>
                <w:szCs w:val="24"/>
              </w:rPr>
              <w:t>.</w:t>
            </w:r>
            <w:r w:rsidRPr="00FF1A8E">
              <w:rPr>
                <w:sz w:val="24"/>
                <w:szCs w:val="24"/>
              </w:rPr>
              <w:t xml:space="preserve"> </w:t>
            </w:r>
          </w:p>
        </w:tc>
      </w:tr>
    </w:tbl>
    <w:p w:rsidR="00813768" w:rsidRPr="00FF1A8E" w:rsidRDefault="00813768" w:rsidP="0081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768" w:rsidRPr="00FF1A8E" w:rsidRDefault="00813768" w:rsidP="00813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3768" w:rsidRPr="00FF1A8E" w:rsidRDefault="00813768" w:rsidP="00813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13768" w:rsidSect="00FF1A8E">
          <w:pgSz w:w="16838" w:h="11906" w:orient="landscape"/>
          <w:pgMar w:top="851" w:right="851" w:bottom="680" w:left="1701" w:header="709" w:footer="709" w:gutter="0"/>
          <w:cols w:space="708"/>
          <w:docGrid w:linePitch="360"/>
        </w:sect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3768" w:rsidRDefault="00813768" w:rsidP="00813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ED1" w:rsidRDefault="00015ED1"/>
    <w:sectPr w:rsidR="00015ED1" w:rsidSect="00A1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768"/>
    <w:rsid w:val="00015ED1"/>
    <w:rsid w:val="003E6A10"/>
    <w:rsid w:val="00813768"/>
    <w:rsid w:val="00A1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81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1549</Words>
  <Characters>8830</Characters>
  <Application>Microsoft Office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2014-02-03T08:24:00Z</dcterms:created>
  <dcterms:modified xsi:type="dcterms:W3CDTF">2014-02-03T09:38:00Z</dcterms:modified>
</cp:coreProperties>
</file>