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BC" w:rsidRDefault="00E07DBC" w:rsidP="00E0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27909" w:rsidRDefault="00E07DBC" w:rsidP="00E0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29 декабря 2017 года № 1297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2018-2020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основных направлений концепции развития культуры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Пугачевского муниципального района в 2018-2020 годах, на основании Устава Пугачевского муниципального района администрация Пугачевского муниципального района ПОСТАНОВЛЯЕТ: 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муниципальную программу 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2018-2020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согласно приложению.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Новикову Л.Н.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BC" w:rsidRDefault="00E07DBC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BC" w:rsidRDefault="00E07DBC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DBC" w:rsidRDefault="00E07DBC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F27909" w:rsidRDefault="00F27909" w:rsidP="00F27909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 декабря 2017 года № 1297</w:t>
      </w: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7909" w:rsidRDefault="00F27909" w:rsidP="00F279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 муниципального района на 2018-2020 годы»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54"/>
      </w:tblGrid>
      <w:tr w:rsidR="00F27909" w:rsidTr="00F27909">
        <w:trPr>
          <w:trHeight w:val="1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прав граждан на доступ к культурным ценностям и информационным ресурсам, обеспечение свободы творчества и прав граждан на участие  в культурной жизни;</w:t>
            </w:r>
          </w:p>
        </w:tc>
      </w:tr>
      <w:tr w:rsidR="00F27909" w:rsidTr="00F27909">
        <w:trPr>
          <w:trHeight w:val="58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культурного наследия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форм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 и любительского творчества;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и обеспечение сохранности библиотечного фонда, организация библиотечного обслуживания;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дополнительного образования;</w:t>
            </w:r>
          </w:p>
          <w:p w:rsidR="00F27909" w:rsidRDefault="00F27909" w:rsidP="00F2790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обеспечение качественного предоставления муниципальных услуг в сфере культуры и искусства</w:t>
            </w:r>
            <w:r>
              <w:rPr>
                <w:rFonts w:ascii="Times New Roman" w:eastAsia="Calibri" w:hAnsi="Times New Roman" w:cs="Calibri"/>
                <w:sz w:val="28"/>
                <w:szCs w:val="28"/>
                <w:lang w:eastAsia="zh-CN"/>
              </w:rPr>
              <w:t>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творческой деятельности работников культуры;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культурного обмена посредством поддержки гастрольной деятельности;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внедрение информационных продуктов и технологий  в сферу культуры;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эффективной системы безопасности в учреждениях культуры;</w:t>
            </w:r>
          </w:p>
        </w:tc>
      </w:tr>
      <w:tr w:rsidR="00F27909" w:rsidTr="00F27909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</w:tc>
      </w:tr>
      <w:tr w:rsidR="00F27909" w:rsidTr="00F27909">
        <w:trPr>
          <w:trHeight w:val="70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учреждения культуры и дополнительного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образования, подведомственные отделу культуры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 1 «Развитие дополнительного образования» (далее – Подпрограмма 1);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2 «</w:t>
            </w:r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>досуговой</w:t>
            </w:r>
            <w:proofErr w:type="spellEnd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 деятельности, </w:t>
            </w:r>
            <w:proofErr w:type="spellStart"/>
            <w:proofErr w:type="gramStart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>народ-ного</w:t>
            </w:r>
            <w:proofErr w:type="spellEnd"/>
            <w:proofErr w:type="gramEnd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 творчества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(далее – Подпрограмма 2);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3 «Развитие музейного дела» (далее – Подпрограмма 3);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4 «Развитие библиотечного дела» (далее – Подпрограмма 4);</w:t>
            </w:r>
          </w:p>
          <w:p w:rsidR="00F27909" w:rsidRDefault="00F27909" w:rsidP="00F279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 годы;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программы составляет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274718,4 тыс. руб., 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24126,8 тыс. руб. 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250591,6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год: всего – 97943,3 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24126,8 тыс. руб. 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73816,5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год: всего – 84034,1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84034,1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год: всего – 92741,0 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92741,0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предоставляемых населению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в сфере культуры и дополнительного образования;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 и сохранение благоприятных условий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устой-чивого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сферы культуры, создания единого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куль-турного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культурной жизни и доступ к культурным ценностям;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материально-технической базы муниципальных учреждений.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1.Характеристика сферы реализации программы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в целях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повышения качества жизни населения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направлена на удовлетворение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 культуры в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занимаются 4 муниципальных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с 63 структурными подразделениями и муниципальное бюджетное учреждение дополнительного образования «Детская школа искусств города Пугачева».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находится 36 объектов культурного наследия.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культуры играют немаловажную роль в социально-экономическом развитии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района, так как их деятельность непосредственно влияет на показатели качества жизни населения.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Творческие коллективы учреждений культуры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самодеятельный коллектив», 1 – «Образцовый самодеятельный коллектив».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Выполнение основных задач программы позволит в полной мере раскрыть социально-культурный потенциал Пугачёвского муниципального района, достойно интегрировать достижения муниципальных учреждений культуры в районные и областные культурные процессы. Также в результате реализации Программы ожидается: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предоставляемых населению муниципальных услуг в сфере культуры и дополнительного образования;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населения, обеспечения свободы творчества и прав граждан на участие в культурной жизни и доступ к культурным ценностям;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улучшение материально-технической базы муниципальных учреждений культуры;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качества жизни жителей Пугачевского района путем предоставления им возможности саморазвития через регулярные занятия творчеством, а также вовлечение населения и общественных организаций Пугачевского района в культурную жизнь.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2.Основные цели и задачи программы, сроки реализации</w:t>
      </w:r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программы является обеспечение прав граждан на доступ к культурным ценностям  и информационным ресурсам, обеспечение свободы творчества и прав граждан на участие  в культурной жизни.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последовательное решение приоритетных задач: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культурного наследия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любительского творчества;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и обеспечение сохранности библиотечного фонда,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органи-зация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библиотечного обслуживания;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укрепление материально-технической базы учреждений культуры и дополнительного образования;</w:t>
      </w:r>
    </w:p>
    <w:p w:rsidR="00F27909" w:rsidRDefault="00F27909" w:rsidP="00F27909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обеспечение качественного предоставления муниципальных услуг в сфере культуры и искусства</w:t>
      </w:r>
      <w:r>
        <w:rPr>
          <w:rFonts w:ascii="Times New Roman" w:eastAsia="Calibri" w:hAnsi="Times New Roman" w:cs="Calibri"/>
          <w:sz w:val="28"/>
          <w:szCs w:val="28"/>
          <w:lang w:eastAsia="zh-CN"/>
        </w:rPr>
        <w:t>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системы непрерывного образования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пере-подготовки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кадров культуры, обеспечение доступности дополнительного образования культуры и искусства;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поддержка молодых дарований;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творческой деятельности работников культуры;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культурного обмена посредством поддержки гастрольной деятельности;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внедрение информационных продуктов и технологий  в сферу культуры;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эффективной системы безопасности в учреждениях культуры.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– 2018-2020 годы.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3.Обоснование выделения подпрограмм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программы, обобщенная характеристика подпрограмм</w:t>
      </w:r>
    </w:p>
    <w:p w:rsidR="00F27909" w:rsidRDefault="00F27909" w:rsidP="00F27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муниципальной программы является 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населения, повышение качества предоставляемых муниципальных услуг в сфере развития и сохранения культурного наследия, организация эффективной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безопасности учреждений культуры различного профиля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Состав подпрограмм определен исходя из состава задач программы, решение которых необходимо для реализации программы. Решение реализуется посредством выполнения соответствующих им подпрограмм муниципальной программы: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 1 «Развитие дополнительного образования»;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>
        <w:rPr>
          <w:rFonts w:ascii="Times New Roman" w:eastAsia="Calibri" w:hAnsi="Times New Roman" w:cs="PT Sans"/>
          <w:color w:val="000000"/>
          <w:sz w:val="28"/>
          <w:szCs w:val="28"/>
          <w:lang w:eastAsia="en-US"/>
        </w:rPr>
        <w:t xml:space="preserve">Развитие </w:t>
      </w:r>
      <w:proofErr w:type="spellStart"/>
      <w:r>
        <w:rPr>
          <w:rFonts w:ascii="Times New Roman" w:eastAsia="Calibri" w:hAnsi="Times New Roman" w:cs="PT Sans"/>
          <w:color w:val="000000"/>
          <w:sz w:val="28"/>
          <w:szCs w:val="28"/>
          <w:lang w:eastAsia="en-US"/>
        </w:rPr>
        <w:t>досуговой</w:t>
      </w:r>
      <w:proofErr w:type="spellEnd"/>
      <w:r>
        <w:rPr>
          <w:rFonts w:ascii="Times New Roman" w:eastAsia="Calibri" w:hAnsi="Times New Roman" w:cs="PT Sans"/>
          <w:color w:val="000000"/>
          <w:sz w:val="28"/>
          <w:szCs w:val="28"/>
          <w:lang w:eastAsia="en-US"/>
        </w:rPr>
        <w:t xml:space="preserve"> деятельности, народного творчества и профессионального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«Развитие музейного дела»;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4 «Развитие библиотечного дела».</w:t>
      </w:r>
    </w:p>
    <w:p w:rsidR="00F27909" w:rsidRDefault="00F27909" w:rsidP="00F27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Подпрограмма 1 разработана 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качественного предоставления муниципальных услуг в сфере дополнительного образования, направлена на обеспечение деятельности муниципального бюджетного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учреж-дения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«Детская школа искусств города Пугачёва».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Подпрограмма 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направлена на обеспечение деятельности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культуры «Централизованная клубная система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Пугачёв-ского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 в рамках выполнения муниципального задания.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Подпрограмма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создаёт условия для удовлетворения потребностей населения по обеспечению доступа к объектам культурного наследия,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музей-ным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фондам. Реализуется в виде предоставления муниципальных услуг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муни-ципальными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культуры «Пугачёвский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«Мемориальный Дом-музей В.И.Чапаева».</w:t>
      </w:r>
    </w:p>
    <w:p w:rsidR="00F27909" w:rsidRDefault="00F27909" w:rsidP="00F279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4 разработана с целью создания условий для эффективной деятельности муниципального учреждения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улучшения качества предоставления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 в рамках муниципального задания.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финансовых ресурсах на реализацию мероприятий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274718,4 тыс. руб., 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24126,8 тыс. руб. 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250591,6 тыс. руб. – бюджет Пугачевского муниципального района: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 год: всего – 97943,3 тыс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24126,8 тыс. руб. 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73816,5 ты</w:t>
      </w:r>
      <w:r>
        <w:rPr>
          <w:rFonts w:ascii="Times New Roman" w:eastAsia="Times New Roman" w:hAnsi="Times New Roman" w:cs="Times New Roman"/>
          <w:sz w:val="28"/>
          <w:szCs w:val="28"/>
        </w:rPr>
        <w:t>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год: всего – 84034,1 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84034,1 тыс. руб. – бюджет Пугачевского муниципального района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год: всего – 92741,0 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92741,0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5.Оценка эффективности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социально-экономических</w:t>
      </w:r>
      <w:proofErr w:type="gramEnd"/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последствий реализации программы</w:t>
      </w:r>
    </w:p>
    <w:p w:rsidR="00F27909" w:rsidRDefault="00F27909" w:rsidP="00F2790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1.Социально-экономический эффект от реализации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предус-мотренных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Программой, выражается в повышении социальной роли культуры на территории Пугачевского муниципального района.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2.Создание благоприятных условий для творческой деятельности, освоения новых форм и направлений культурного обмена.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3.Обеспечение конкурентоспособности молодых специалистов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твор-ческих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профессий  в условиях свободного рынка труда, развитие эстетического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воспитания молодежи и информационно-просветительной направленности мероприятий. 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4.Оптимизация расходования бюджетных средств, сосредоточения ресурсов на решении приоритетных задач в области культуры, модернизации ее материальной базы. 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5.Создание современной системы управления обеспечением безопасности учреждений культуры.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Подпрограмма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269"/>
        <w:gridCol w:w="7796"/>
      </w:tblGrid>
      <w:tr w:rsidR="00F27909" w:rsidTr="00F27909">
        <w:trPr>
          <w:trHeight w:val="6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Пугачевского муниципального района на 2018-2020 годы;</w:t>
            </w:r>
          </w:p>
        </w:tc>
      </w:tr>
      <w:tr w:rsidR="00F27909" w:rsidTr="00F27909">
        <w:trPr>
          <w:trHeight w:val="6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дополнительного образования»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1);</w:t>
            </w:r>
          </w:p>
        </w:tc>
      </w:tr>
      <w:tr w:rsidR="00F27909" w:rsidTr="00F27909">
        <w:trPr>
          <w:trHeight w:val="100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дополнительного образования «Детская школа искусств города Пугачёва»;</w:t>
            </w:r>
          </w:p>
        </w:tc>
      </w:tr>
      <w:tr w:rsidR="00F27909" w:rsidTr="00F27909">
        <w:trPr>
          <w:trHeight w:val="1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909" w:rsidRDefault="00F27909" w:rsidP="00F2790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дополнительного образования сферы культуры и искусства на территории Пугачёвского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качественного предоставления  муниципальных услуг в сфере дополнительного образования на территории Пугачёвского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</w:tc>
      </w:tr>
      <w:tr w:rsidR="00F27909" w:rsidTr="00F27909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Координатор 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вопросам;</w:t>
            </w:r>
          </w:p>
        </w:tc>
      </w:tr>
      <w:tr w:rsidR="00F27909" w:rsidTr="00F27909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отдел культуры администрации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7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«Детская школа искусств города Пугачёва»;</w:t>
            </w:r>
          </w:p>
        </w:tc>
      </w:tr>
      <w:tr w:rsidR="00F27909" w:rsidTr="00F27909">
        <w:trPr>
          <w:trHeight w:val="6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37684,2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руб., из них: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1529,6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руб. - областной бюджет;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36154,6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 - бюджет Пугачевского муниципального района: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по годам: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12736,3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1529,6 тыс. руб.–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11206,7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12443,3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12443,3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12504,6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12504,6 тыс. руб. – бюджет Пугачевского муниципального района;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предоставляемых населению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 в сфере дополнительного образования.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 детей в сфере культуры и искусства - детские школы искусств - являются необходимой базой и фундаментом будущего профессионального образования. На территории Пугачевского муниципального  района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бюд-жетное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учреждение дополнительного образования «Детская школа искусств города Пугачёва».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Проблемой, определяющей необходимость разработки подпрограммы, является сохранение и развитие образования в сфере культуры и искусства, как важнейшей составляющей образовательного пространства Пугачёвского муниципального района. Дополнительное образование социально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востре-бовано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требует постоянного внимания и поддержки со стороны общества и государства как направление, органично сочетающее в себе воспитание, обучение и развитие личности.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учреждения дополнительного образования выявил, что причинами трудностей в обеспечении деятельности этого учреждения являются устаревшая материально-техническая база, недостаточное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обеспе-чение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специализированным оборудованием, необходимым для осуществления профильной деятельности, недостаточная приспособленность учреждения для его посещения и предоставления услуг различным категориям лиц с ограниченными возможностями здоровья.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2.Сроки реализации Подпрограммы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1 реализуется в 2018-2020 годах.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3.Цели и задачи Подпрограммы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left="23" w:firstLine="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Подпрограммы 1 – обеспечение деятельности муниципального бюджетного учреждения дополнительного образования «Детская школа искусств города Пугачёва». Задачи подпрограммы определяются ее конечной целью и заключаются в следующем:</w:t>
      </w:r>
    </w:p>
    <w:p w:rsidR="00F27909" w:rsidRDefault="00F27909" w:rsidP="00F27909">
      <w:pPr>
        <w:tabs>
          <w:tab w:val="left" w:pos="3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сохранение дополнительного образования сферы культуры и искусства на территории Пугачёвского района;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качественного предоставления  муниципальных услуг в сфере дополнительного образования на территории Пугачёвского муниципального района.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4.Финансовое обеспечение Подпрограммы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1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37684,2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руб., из них: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1529,6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 - областной бюджет;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36154,6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 - бюджет Пугачевского муниципального района: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по годам: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12736,3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1529,6 тыс. руб.–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11206,7 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 год: 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12443,3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12443,3 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12504,6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12504,6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5.Организация управления реализацией Подпрограммы 1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6.Ожидаемые результаты реализации Подпрограммы 1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позволит повысить качество предоставляемых населению муниципальных услуг в сфере дополнительного образования.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7.Мероприятия Подпрограммы 1</w:t>
      </w: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1"/>
        <w:tblW w:w="10065" w:type="dxa"/>
        <w:tblInd w:w="-318" w:type="dxa"/>
        <w:tblLayout w:type="fixed"/>
        <w:tblLook w:val="04A0"/>
      </w:tblPr>
      <w:tblGrid>
        <w:gridCol w:w="568"/>
        <w:gridCol w:w="1985"/>
        <w:gridCol w:w="1134"/>
        <w:gridCol w:w="1275"/>
        <w:gridCol w:w="1134"/>
        <w:gridCol w:w="1134"/>
        <w:gridCol w:w="1276"/>
        <w:gridCol w:w="1559"/>
      </w:tblGrid>
      <w:tr w:rsidR="00F27909" w:rsidTr="00F27909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мероприятий</w:t>
            </w:r>
          </w:p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Источ-ники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Исполни-тели</w:t>
            </w:r>
            <w:proofErr w:type="spellEnd"/>
            <w:proofErr w:type="gramEnd"/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 физическим и  (или)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юриди-ческим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(включая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расхо-ды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оплату труда,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комму-нальные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услуги, содержание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иму-щества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прочие расходы, в том числе 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пога-шение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кредитор-ской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задолжен-ности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прошлых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tabs>
                <w:tab w:val="left" w:pos="601"/>
                <w:tab w:val="left" w:pos="74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Пугачевско-го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района;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бюджет-ное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учреж-дение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допол-нительного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образования «Детская школа искусств города Пугачёва»</w:t>
            </w: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36154,6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37684,2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12736,3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12443,3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12504,6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Подпрограмма 2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Look w:val="04A0"/>
      </w:tblPr>
      <w:tblGrid>
        <w:gridCol w:w="2269"/>
        <w:gridCol w:w="7655"/>
      </w:tblGrid>
      <w:tr w:rsidR="00F27909" w:rsidTr="00F27909">
        <w:trPr>
          <w:trHeight w:val="6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Пугачевского муниципального района на 2018-2020 годы;</w:t>
            </w:r>
          </w:p>
        </w:tc>
      </w:tr>
      <w:tr w:rsidR="00F27909" w:rsidTr="00F27909">
        <w:trPr>
          <w:trHeight w:val="6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proofErr w:type="spellStart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>досуговой</w:t>
            </w:r>
            <w:proofErr w:type="spellEnd"/>
            <w:r>
              <w:rPr>
                <w:rFonts w:ascii="Times New Roman" w:eastAsia="Calibri" w:hAnsi="Times New Roman" w:cs="PT Sans"/>
                <w:color w:val="000000"/>
                <w:sz w:val="28"/>
                <w:szCs w:val="28"/>
                <w:lang w:eastAsia="en-US"/>
              </w:rPr>
              <w:t xml:space="preserve"> деятельности, народного творчества и профессионального искусства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Подпрограмма 2);</w:t>
            </w:r>
          </w:p>
        </w:tc>
      </w:tr>
      <w:tr w:rsidR="00F27909" w:rsidTr="00F27909">
        <w:trPr>
          <w:trHeight w:val="15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качественного предоставления муниципальных услуг в сфере культуры и искусства в результате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деятель-ности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учреждения культуры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клубная система Пугачёвского района»;</w:t>
            </w:r>
          </w:p>
        </w:tc>
      </w:tr>
      <w:tr w:rsidR="00F27909" w:rsidTr="00F27909">
        <w:trPr>
          <w:trHeight w:val="15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самодеятельного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художест-венного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творчества и досуга населения; 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населения Пугачёвского муниципального района в создание и продвижение культурного продукта;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и сохранение кадрового потенциала учреждений культуры; 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престижности и привлекательности профессий в сфере культуры; 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 укрепление материально-технической базы учреждений культуры и искусства;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культуры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мероприятий, посвященных государственным праздникам, значимым событиям общества, российской культуры и развитию культурного сотрудничества;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41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Координатор подпрограммы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вопросам;</w:t>
            </w:r>
          </w:p>
        </w:tc>
      </w:tr>
      <w:tr w:rsidR="00F27909" w:rsidTr="00F27909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8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«Централизованная клубная система Пугачёвского района»;</w:t>
            </w:r>
          </w:p>
        </w:tc>
      </w:tr>
      <w:tr w:rsidR="00F27909" w:rsidTr="00F27909">
        <w:trPr>
          <w:trHeight w:val="75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 реализации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185056,8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17860,0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областной бюджет;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167196,8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66994,7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17860,0 тыс. руб. 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49134,7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год: всего – 54956,4 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54956,4 тыс. руб. – бюджет Пугачевского муниципального района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год: всего – 63105,7 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63105,7 тыс. руб. – бюджет Пугачевского муниципального района;</w:t>
            </w:r>
          </w:p>
        </w:tc>
      </w:tr>
      <w:tr w:rsidR="00F27909" w:rsidTr="00F2790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Ожидаемые конечные результаты      реализации подпрограммы    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качественное предоставление муниципальных услуг в сфере культуры и искусства;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кадрового потенциала учреждений культуры; 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проведения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мероприятий, посвященных государственным праздникам, значимым событиям общества, российской культуры и развитию культурного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сотрудни-чества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представляет собой комплекс мероприятий,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охваты-вающих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основные актуальные направления культурной политики в районе, которые осуществляет муниципальное учреждение культуры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Централизо-ванная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клубная система Пугачёвского района».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муниципального учреждения культуры «Централизованная клубная система Пугачёвского района» направлена на формирование и удовлетворение потребностей населения Пугачевского муниципального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среду лиц с ограниченными возможностями здоровья.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 культуры выполняют важнейшие социальные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коммуни-кативные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функции, являются одним из базовых элементов культурной, образовательной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культур-ному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развитию населения.</w:t>
      </w:r>
    </w:p>
    <w:p w:rsidR="00F27909" w:rsidRDefault="00F27909" w:rsidP="00F279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основных проблем отрасли является материально-техническое обеспечение муниципальных учреждений культуры, укрепление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модерни-зация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всех необходимых ресурсов для обеспечения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 Требуется дальнейшая работа по восстановлению и обновлению материальных ресурсов муниципальных учреждений культуры, созданию современных методик 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клубно-досуговой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сфере, направленных на повышение их социальной значимости.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2.Сроки реализации Подпрограммы 2</w:t>
      </w: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2 реализуется в 2018-2020 годах.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3.Цели и задачи Подпрограммы 2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2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качественного предоставления муниципальных услуг в сфере культуры и искусства в результате деятельности муниципального учреждения культуры «Централизованная клубная система Пугачёвского района». </w:t>
      </w: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 определяются ее конечной целью и заключаются в следующем: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развития самодеятельного художественного творчества и досуга населения;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населения Пугачевского муниципального района в создание и продвижение культурного продукта;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сохранение кадрового потенциала учреждений культуры;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престижности и привлекательности профессий в сфере культуры;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укрепление материально-технической базы учреждений культуры и искусства;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культуры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4.Финансовое обеспечение Подпрограммы 2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2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185056,8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17860,0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167196,8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66994,7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17860,0 тыс. руб. – областной бюджет;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49134,7 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год: всего – 54956,4 тыс. руб.,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54956,4 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год: всего – 63105,7 тыс. руб.,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63105,7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5.Организация управления реализацией Подпрограммы 2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6.Ожидаемые результаты реализации Подпрограммы 2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повысить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предоставления муниципальных услуг в сфере культуры и искусства, способствует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сохранению кадрового потенциала учреждений культуры, повышению уровня проведения </w:t>
      </w:r>
      <w:r>
        <w:rPr>
          <w:rFonts w:ascii="Times New Roman" w:eastAsia="Calibri" w:hAnsi="Times New Roman" w:cs="Times New Roman"/>
          <w:sz w:val="28"/>
          <w:szCs w:val="28"/>
        </w:rPr>
        <w:t>мероприятий, посвященных государственным праздникам, значимым событиям общества, российской культуры и развитию культурного сотрудничества.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7.Мероприятия Подпрограммы 2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2"/>
        <w:tblW w:w="9645" w:type="dxa"/>
        <w:tblInd w:w="-34" w:type="dxa"/>
        <w:tblLayout w:type="fixed"/>
        <w:tblLook w:val="04A0"/>
      </w:tblPr>
      <w:tblGrid>
        <w:gridCol w:w="567"/>
        <w:gridCol w:w="1842"/>
        <w:gridCol w:w="1135"/>
        <w:gridCol w:w="1135"/>
        <w:gridCol w:w="1135"/>
        <w:gridCol w:w="1135"/>
        <w:gridCol w:w="1393"/>
        <w:gridCol w:w="1303"/>
      </w:tblGrid>
      <w:tr w:rsidR="00F27909" w:rsidTr="00F27909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Исполни-тели</w:t>
            </w:r>
            <w:proofErr w:type="spellEnd"/>
            <w:proofErr w:type="gramEnd"/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«Оказание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фи-зическим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 (или)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юриди-ческим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в рамках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муни-ципального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за-дания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(включая расходы на оплату труда, коммунальные услуги,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содер-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жание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иму-щества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про-чие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расходы)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167196,8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49134,7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63105,7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Пугачевс-кого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муни-ципально-го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Пугачевс-кого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райо-на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муници-пальное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учрежде-ние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Центра-лизован-ная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клуб-ная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сис-тема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Пу-гачевско-го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17860,0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185056,8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66994,7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54956,4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63105,7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/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Подпрограмма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694"/>
        <w:gridCol w:w="7371"/>
      </w:tblGrid>
      <w:tr w:rsidR="00F27909" w:rsidTr="00F27909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Пугачевского муниципального района на 2018-2020 годы;</w:t>
            </w:r>
          </w:p>
        </w:tc>
      </w:tr>
      <w:tr w:rsidR="00F27909" w:rsidTr="00F27909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музейного дела»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3);</w:t>
            </w:r>
          </w:p>
        </w:tc>
      </w:tr>
      <w:tr w:rsidR="00F27909" w:rsidTr="00F27909">
        <w:trPr>
          <w:trHeight w:val="1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предоставления муниципальных услуг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культуры «Пугачёвский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крае-ведческий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им.К.И.Журавлёва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и «Мемориальный Дом-музей В.И.Чапаева»;</w:t>
            </w:r>
          </w:p>
        </w:tc>
      </w:tr>
      <w:tr w:rsidR="00F27909" w:rsidTr="00F27909">
        <w:trPr>
          <w:trHeight w:val="10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удовлетворения потребностей населения по обеспечению доступа к объектам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наследия, музейным фондам;</w:t>
            </w:r>
          </w:p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Разработчик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вопросам; 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7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«Пугачёвский краеведческий музей им. К.И.Журавлёва» «Мемориальный Дом-музей В.И.Чапаева»;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909" w:rsidTr="00F27909">
        <w:trPr>
          <w:trHeight w:val="74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годы;</w:t>
            </w:r>
          </w:p>
        </w:tc>
      </w:tr>
      <w:tr w:rsidR="00F27909" w:rsidTr="00F279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13084,4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1034,3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областной бюджет;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12050,1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бюджет Пугачёвского муниципального района, в том числе по годам: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год: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4717,6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1034,3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3683,3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4061,4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4061,4 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4305,4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4305,4 тыс. руб. – бюджет Пугачевского муниципального района;</w:t>
            </w:r>
          </w:p>
        </w:tc>
      </w:tr>
      <w:tr w:rsidR="00F27909" w:rsidTr="00F279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     реализации подпрограммы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качественное предоставление муниципальных услуг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муни-ципальными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культуры «Пугачёвский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крае-ведческий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музей им.К.И. Журавлёва» и «Мемориальный Дом-музей В.И. Чапаева»;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функций отдела культуры администрации Пугачевского муниципального района является выявление и популяризация исторического и культурного наследия района, пропаганда культурного наследия. </w:t>
      </w:r>
      <w:proofErr w:type="spellStart"/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Популя-ризация</w:t>
      </w:r>
      <w:proofErr w:type="spellEnd"/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культурного наследия способствует взаимному пониманию, уважению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деятельности по обеспечению доступа к объектам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культур-ного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наследия и музейным фондам осуществляют муниципальные учреждения культуры «Пугачёвский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«Мемориальный Дом-музей В.И.Чапаева».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представляет собой комплекс мероприятий,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направленных на обеспечение сохранности объектов культурного наследия, формирование  положительного культурного имиджа Пугачевского муниципального района, развитие внутреннего и въездного туризма. 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2.Сроки реализации Подпрограммы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3 реализуется в 2018-2020 годах.</w:t>
      </w: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3.Цели и задачи Подпрограммы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3 – обеспечение предоставления муниципальных услуг муниципальными учреждениями культуры «Пугачёвский краеведческий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и «Мемориальный Дом-музей В.И.Чапаева». Задачей подпрограммы является создание условий для удовлетворения потребностей населения по обеспечению доступа к объектам культурного наследия,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музей-ным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фондам.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4.Финансовое обеспечение Подпрограммы 3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3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13084,4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1034,3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12050,1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Пугачевского муниципального района: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год: всего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4717,6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1034,3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3683,3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4061,4 </w:t>
      </w:r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4061,4 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4305,4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4305,4 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5.Организация управления реализацией Подпрограммы 3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6.Ожидаемые результаты реализации Подпрограммы 3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позволит повысить качество предоставление муниципальных услуг муниципальными учреждениями культуры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Пугачёв-ский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краеведческий музей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им.К.И.Журавлёва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и «Мемориальный Дом-музей В.И.Чапаева», создать условия для удовлетворения потребностей населения района по обеспечению доступа к объектам культурного наследия, музейным фондам.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7.Мероприятия Подпрограммы 3</w:t>
      </w:r>
    </w:p>
    <w:p w:rsidR="00F27909" w:rsidRDefault="00F27909" w:rsidP="00F27909">
      <w:pPr>
        <w:shd w:val="clear" w:color="auto" w:fill="FFFFFF"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3"/>
        <w:tblW w:w="9930" w:type="dxa"/>
        <w:tblInd w:w="-318" w:type="dxa"/>
        <w:tblLayout w:type="fixed"/>
        <w:tblLook w:val="04A0"/>
      </w:tblPr>
      <w:tblGrid>
        <w:gridCol w:w="567"/>
        <w:gridCol w:w="1986"/>
        <w:gridCol w:w="1135"/>
        <w:gridCol w:w="993"/>
        <w:gridCol w:w="993"/>
        <w:gridCol w:w="993"/>
        <w:gridCol w:w="1535"/>
        <w:gridCol w:w="1728"/>
      </w:tblGrid>
      <w:tr w:rsidR="00F27909" w:rsidTr="00F27909">
        <w:trPr>
          <w:trHeight w:val="7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муни-ципальных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 физическим и  (или)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юридичес-ким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лицам (включая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рас-ходы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на оплату труда,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комму-нальные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услуги, содержание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иму-щества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прочие расходы, в том числе 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пога-шение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кредитор-ской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задолжен-ности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прошлых лет)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куль-туры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Пуга-чевского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района;</w:t>
            </w:r>
          </w:p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муниципаль-ное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учреж-дение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Пуга-чёвский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крае-ведческий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им.К.И.Журавлёва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муниципаль-ное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учреж-дение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куль-туры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Пуга-чёвский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мемо-риальный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Дом-музей В.И.Чапаева»</w:t>
            </w:r>
          </w:p>
        </w:tc>
      </w:tr>
      <w:tr w:rsidR="00F27909" w:rsidTr="00F27909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12050,1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3683,3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4305,4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Пу-гачевского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13084,4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4717,6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4061,4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4305,4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Подпрограмма 4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ook w:val="04A0"/>
      </w:tblPr>
      <w:tblGrid>
        <w:gridCol w:w="2694"/>
        <w:gridCol w:w="7371"/>
      </w:tblGrid>
      <w:tr w:rsidR="00F27909" w:rsidTr="00F27909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культуры Пугачевского муниципального района на 2018-2020 годы»);</w:t>
            </w:r>
            <w:proofErr w:type="gramEnd"/>
          </w:p>
        </w:tc>
      </w:tr>
      <w:tr w:rsidR="00F27909" w:rsidTr="00F27909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библиотечного дела»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Подпрограмма 4);</w:t>
            </w:r>
          </w:p>
        </w:tc>
      </w:tr>
      <w:tr w:rsidR="00F27909" w:rsidTr="00F27909">
        <w:trPr>
          <w:trHeight w:val="7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эффективной деятельности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 культуры «Пугачёвская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библиотека»;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rPr>
          <w:trHeight w:val="41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tabs>
                <w:tab w:val="left" w:pos="885"/>
                <w:tab w:val="left" w:pos="1027"/>
                <w:tab w:val="left" w:pos="1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предоставления муниципальных услуг в рамках муниципального задания;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909" w:rsidTr="00F27909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Разработчик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по социальным вопросам;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83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вопросам; </w:t>
            </w:r>
          </w:p>
        </w:tc>
      </w:tr>
      <w:tr w:rsidR="00F27909" w:rsidTr="00F27909">
        <w:trPr>
          <w:trHeight w:val="12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района;</w:t>
            </w:r>
          </w:p>
        </w:tc>
      </w:tr>
      <w:tr w:rsidR="00F27909" w:rsidTr="00F27909">
        <w:trPr>
          <w:trHeight w:val="9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«Пугачёвская районная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библиотека»;</w:t>
            </w:r>
          </w:p>
        </w:tc>
      </w:tr>
      <w:tr w:rsidR="00F27909" w:rsidTr="00F279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и этапы 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2018-2020 годы;</w:t>
            </w:r>
          </w:p>
        </w:tc>
      </w:tr>
      <w:tr w:rsidR="00F27909" w:rsidTr="00F279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составляет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38893,0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3702,9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областной бюджет;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35190,1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- 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Пугачёв-ского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13494,7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3702,9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 – областной бюджет;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9791,8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2019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12573,0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12573,0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год: всего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12825,3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12825,3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 – бюджет Пугачевского муниципального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7909" w:rsidTr="00F2790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Ожидаемые конечные результаты      реализации подпрограммы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библиотечного, библиографического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инфор-мационного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обслуживания населения района;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 доступ населения к информации и новым видам услуг, основанных на использовании информационных и телекоммуникационных технологий;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функционирование и развитие материально-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технической базы муниципальных библиотек;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сохранность библиотечного фонда;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качества организации и проведения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меро-приятий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библиотеках;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 района.</w:t>
            </w:r>
          </w:p>
          <w:p w:rsidR="00F27909" w:rsidRDefault="00F27909" w:rsidP="00F2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7909" w:rsidRDefault="00F27909" w:rsidP="00F2790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1.Содержание проблемы, обоснование необходимости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подпрограммными методами</w:t>
      </w:r>
    </w:p>
    <w:p w:rsidR="00F27909" w:rsidRDefault="00F27909" w:rsidP="00F279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Общедоступные библиотеки являются неотъемлемой частью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инфра-структуры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наряду с образовательной,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информа-ционной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социальной, благотворительной и иными сферами деятельности. Именно они наиболее успешно способны выполнять  формирующую роль посредством   реализации  информационной, образовательной,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функции. 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Библиотеки сотрудничают с другими организациями в реализации целевых программ информационного и культурного развития детей и юношей,  пенсионеров, оказывают информационную поддержку представителям местной власти,  деловых структур общества, участвуют в правовом просвещении граждан.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реализуется муниципальным учреждением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объединяющая           32 библиотеки: 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24 сельских.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открытого, беспрепятственного доступа граждан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инфор-мации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знаниям на основе единой библиотечно-информационной системы, объединяющей ресурсы всех библиотек страны,  является стратегическим направлением развития современных библиотек.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Условия свободного и комфортного доступа населения к информации и культуре становится одним из основных  критериев эффективности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библио-течного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обслуживания. Общедоступные муниципальные библиотеки являются воплощением принципов общедоступности и  равнодоступности. Основные библиотечно-информационные услуги в общедоступных библиотеках предоставляются бесплатно.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Стратегическим вопросом самого существования общедоступных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таких центров включает комплекс организационных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преобра-зований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расширения спектра предлагаемых  гражданам услуг,  с использованием новейших технологий и в соответствии с требованиями стандартов качества. 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Решению этих задач должна соответствовать ресурсная база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библиотек, при формировании которой учитывается их специфика, место и роль в системе библиотечно-информационного обслуживания, в том числе статус  административного образования,  демографический состав  и  численность населения, плотность расселения, уровень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социально-экономи-ческого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 и др.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2.Сроки реализации Подпрограммы 4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Подпрограмма 4 реализуется в 2018-2020 годах.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3.Цели и задачи Подпрограммы 4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4 – создание условий для эффективной деятельности муниципального учреждения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межпоселен-ческая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улучшение качества предоставления муниципальных услуг в рамках муниципального задания.</w:t>
      </w:r>
    </w:p>
    <w:p w:rsidR="00F27909" w:rsidRDefault="00F27909" w:rsidP="00F27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4.Финансовое обеспечение Подпрограммы 4</w:t>
      </w:r>
    </w:p>
    <w:p w:rsidR="00F27909" w:rsidRDefault="00F27909" w:rsidP="00F2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финансирования Подпрограммы 4 составляет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38893,0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3702,9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областной бюджет;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35190,1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 - бюджет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Пугачёв-ского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2018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13494,7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3702,9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областной бюджет;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9791,8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12573,0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12573,0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района;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год: всего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12825,3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руб.,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12825,3 </w:t>
      </w:r>
      <w:r>
        <w:rPr>
          <w:rFonts w:ascii="Times New Roman" w:eastAsia="Times New Roman" w:hAnsi="Times New Roman" w:cs="Times New Roman"/>
          <w:sz w:val="28"/>
          <w:szCs w:val="28"/>
        </w:rPr>
        <w:t>тыс. руб. – бюджет Пугачевского муниципального района.</w:t>
      </w: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ind w:left="1354"/>
        <w:contextualSpacing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5.Организация управления реализацией Подпрограммы 4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подпрограммы осуществляется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исполнителем подпрограммы является отдел культуры администрации Пугачевского муниципального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Распорядитель бюджетных ресурсов осуществляет контроль за целевым и своевременным использованием бюджетных средств в соответствии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дейст-вующим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6.Ожидаемые результаты реализации Подпрограммы 4</w:t>
      </w: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повысить качество предоставления муниципальных услуг муниципальным учреждением культуры «Пугачёвская районная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библиотека», обеспечить: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библиотечного, библиографического и информационного обслуживания населения района;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свободный доступ населения к информации и новым видам услуг, основанных на использовании информационных и телекоммуникационных технологий;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эффективное функционирование и развитие материально-технической базы муниципальных библиотек;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сохранность библиотечного фонда;</w:t>
      </w:r>
    </w:p>
    <w:p w:rsidR="00F27909" w:rsidRDefault="00F27909" w:rsidP="00F27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организации и проведения мероприятий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библио-теках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909" w:rsidRDefault="00F27909" w:rsidP="00F279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доступ граждан к культурным ценностям и участию в культурной жизни района.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7.Мероприятия Подпрограммы 4</w:t>
      </w: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27909" w:rsidRDefault="00F27909" w:rsidP="00F2790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1"/>
        <w:tblW w:w="10200" w:type="dxa"/>
        <w:tblInd w:w="-459" w:type="dxa"/>
        <w:tblLayout w:type="fixed"/>
        <w:tblLook w:val="04A0"/>
      </w:tblPr>
      <w:tblGrid>
        <w:gridCol w:w="568"/>
        <w:gridCol w:w="1984"/>
        <w:gridCol w:w="1133"/>
        <w:gridCol w:w="1133"/>
        <w:gridCol w:w="1133"/>
        <w:gridCol w:w="1133"/>
        <w:gridCol w:w="1275"/>
        <w:gridCol w:w="1841"/>
      </w:tblGrid>
      <w:tr w:rsidR="00F27909" w:rsidTr="00F27909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финансирования</w:t>
            </w:r>
          </w:p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Источни-ки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27909" w:rsidTr="00F27909">
        <w:trPr>
          <w:trHeight w:val="4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7909" w:rsidTr="00F27909">
        <w:trPr>
          <w:trHeight w:val="16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Ока-зание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физическим и  (или)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юриди-ческим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зада-ния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(включая 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оп-лату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труда,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ком-мунальные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услу-ги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содержание имущества и прочие расходы)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3702,9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Пугачевского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«Пугачёвская районная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меж-поселенческая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F27909" w:rsidTr="00F27909">
        <w:trPr>
          <w:trHeight w:val="21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35190,1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Пугачев-ского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му-ниципального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27909" w:rsidTr="00F279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13494,7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909" w:rsidRDefault="00F27909" w:rsidP="00F2790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09" w:rsidRDefault="00F27909" w:rsidP="00F279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C2B6B" w:rsidRDefault="004C2B6B" w:rsidP="00F27909">
      <w:pPr>
        <w:spacing w:after="0" w:line="240" w:lineRule="auto"/>
      </w:pPr>
    </w:p>
    <w:sectPr w:rsidR="004C2B6B" w:rsidSect="00F279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09"/>
    <w:rsid w:val="004C2B6B"/>
    <w:rsid w:val="00DD751A"/>
    <w:rsid w:val="00E07DBC"/>
    <w:rsid w:val="00F2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F2790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F2790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5819</Words>
  <Characters>33169</Characters>
  <Application>Microsoft Office Word</Application>
  <DocSecurity>0</DocSecurity>
  <Lines>276</Lines>
  <Paragraphs>77</Paragraphs>
  <ScaleCrop>false</ScaleCrop>
  <Company/>
  <LinksUpToDate>false</LinksUpToDate>
  <CharactersWithSpaces>38911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2018-01-15T11:33:00Z</dcterms:created>
  <dcterms:modified xsi:type="dcterms:W3CDTF">2018-01-15T12:49:00Z</dcterms:modified>
</cp:coreProperties>
</file>