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991"/>
      </w:tblGrid>
      <w:tr w:rsidR="009F127E" w:rsidRPr="00AF18D9" w:rsidTr="00DE5FBF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F5476F" w:rsidRPr="00AF18D9" w:rsidTr="00DE5FBF">
        <w:trPr>
          <w:trHeight w:val="2572"/>
        </w:trPr>
        <w:tc>
          <w:tcPr>
            <w:tcW w:w="675" w:type="dxa"/>
          </w:tcPr>
          <w:p w:rsidR="00F5476F" w:rsidRPr="00DF6531" w:rsidRDefault="00DF6531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64:27:030301:1038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A241D4" w:rsidRPr="00A241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Сара</w:t>
            </w:r>
            <w:r w:rsidR="00A241D4">
              <w:rPr>
                <w:rFonts w:ascii="Times New Roman" w:hAnsi="Times New Roman"/>
                <w:color w:val="000000"/>
              </w:rPr>
              <w:t>тов</w:t>
            </w:r>
            <w:r w:rsidR="00A241D4" w:rsidRPr="00A241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Пугачевский район, </w:t>
            </w:r>
            <w:proofErr w:type="spellStart"/>
            <w:r w:rsidR="00431A01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деждинское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МО, примерно в 2,8км на северо-восток от пункта ГГС 2474.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хранение и переработка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</w:t>
            </w:r>
            <w:r w:rsidR="000D0E35">
              <w:rPr>
                <w:rFonts w:ascii="Times New Roman" w:hAnsi="Times New Roman"/>
                <w:color w:val="000000"/>
              </w:rPr>
              <w:t>-ствен</w:t>
            </w:r>
            <w:r>
              <w:rPr>
                <w:rFonts w:ascii="Times New Roman" w:hAnsi="Times New Roman"/>
                <w:color w:val="00000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418" w:type="dxa"/>
          </w:tcPr>
          <w:p w:rsidR="00F5476F" w:rsidRPr="0000528B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20650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37640,82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37640,82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1129,00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DF6531">
        <w:rPr>
          <w:b/>
          <w:color w:val="000000"/>
          <w:szCs w:val="24"/>
        </w:rPr>
        <w:t>20 сентября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="00834E7F">
        <w:rPr>
          <w:color w:val="000000"/>
          <w:szCs w:val="24"/>
        </w:rPr>
        <w:t>от 16 августа</w:t>
      </w:r>
      <w:r w:rsidRPr="00834E7F">
        <w:rPr>
          <w:color w:val="000000"/>
          <w:szCs w:val="24"/>
        </w:rPr>
        <w:t xml:space="preserve"> № </w:t>
      </w:r>
      <w:r w:rsidR="00834E7F">
        <w:rPr>
          <w:color w:val="000000"/>
          <w:szCs w:val="24"/>
        </w:rPr>
        <w:t>182</w:t>
      </w:r>
      <w:r w:rsidRPr="00834E7F">
        <w:rPr>
          <w:color w:val="000000"/>
          <w:szCs w:val="24"/>
        </w:rPr>
        <w:t>-р</w:t>
      </w:r>
      <w:r w:rsidRPr="00516171">
        <w:rPr>
          <w:color w:val="000000"/>
          <w:szCs w:val="24"/>
        </w:rPr>
        <w:t xml:space="preserve"> «О проведении открытого аукцио</w:t>
      </w:r>
      <w:r w:rsidR="00834E7F">
        <w:rPr>
          <w:color w:val="000000"/>
          <w:szCs w:val="24"/>
        </w:rPr>
        <w:t>на на право заключения договора аренды земельного участка</w:t>
      </w:r>
      <w:r w:rsidRPr="00516171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DF6531">
        <w:rPr>
          <w:color w:val="000000"/>
          <w:szCs w:val="24"/>
        </w:rPr>
        <w:t>19 августа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DF6531">
        <w:rPr>
          <w:szCs w:val="24"/>
        </w:rPr>
        <w:t>14 сентября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EB4215" w:rsidRDefault="00E350AB" w:rsidP="005006EB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877AC3">
        <w:rPr>
          <w:color w:val="000000"/>
          <w:sz w:val="22"/>
          <w:szCs w:val="22"/>
        </w:rPr>
        <w:t>рок аренды</w:t>
      </w:r>
      <w:r w:rsidR="005006EB">
        <w:rPr>
          <w:color w:val="000000"/>
          <w:sz w:val="22"/>
          <w:szCs w:val="22"/>
        </w:rPr>
        <w:t xml:space="preserve"> земельного участка </w:t>
      </w:r>
      <w:r w:rsidR="00AD50F1">
        <w:rPr>
          <w:color w:val="000000"/>
          <w:sz w:val="22"/>
          <w:szCs w:val="22"/>
        </w:rPr>
        <w:t xml:space="preserve">64:27:030301:1038 </w:t>
      </w:r>
      <w:r w:rsidR="008267D8">
        <w:rPr>
          <w:color w:val="000000"/>
          <w:sz w:val="22"/>
          <w:szCs w:val="22"/>
        </w:rPr>
        <w:t>–</w:t>
      </w:r>
      <w:r w:rsidR="00AD50F1">
        <w:rPr>
          <w:color w:val="000000"/>
          <w:sz w:val="22"/>
          <w:szCs w:val="22"/>
        </w:rPr>
        <w:t xml:space="preserve"> </w:t>
      </w:r>
      <w:r w:rsidR="005006EB">
        <w:rPr>
          <w:color w:val="000000"/>
          <w:sz w:val="22"/>
          <w:szCs w:val="22"/>
        </w:rPr>
        <w:t>7</w:t>
      </w:r>
      <w:r w:rsidR="0038601D">
        <w:rPr>
          <w:color w:val="000000"/>
          <w:sz w:val="22"/>
          <w:szCs w:val="22"/>
        </w:rPr>
        <w:t>ле</w:t>
      </w:r>
      <w:r w:rsidR="008267D8">
        <w:rPr>
          <w:color w:val="000000"/>
          <w:sz w:val="22"/>
          <w:szCs w:val="22"/>
        </w:rPr>
        <w:t xml:space="preserve">т </w:t>
      </w:r>
      <w:r w:rsidR="005006EB">
        <w:rPr>
          <w:color w:val="000000"/>
          <w:sz w:val="22"/>
          <w:szCs w:val="22"/>
        </w:rPr>
        <w:t>4 месяца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055569">
        <w:rPr>
          <w:rFonts w:ascii="Times New Roman" w:hAnsi="Times New Roman"/>
          <w:sz w:val="24"/>
          <w:szCs w:val="24"/>
        </w:rPr>
        <w:t>15</w:t>
      </w:r>
      <w:r w:rsidR="009B6FCF">
        <w:rPr>
          <w:rFonts w:ascii="Times New Roman" w:hAnsi="Times New Roman"/>
          <w:sz w:val="24"/>
          <w:szCs w:val="24"/>
        </w:rPr>
        <w:t xml:space="preserve"> </w:t>
      </w:r>
      <w:r w:rsidR="00055569">
        <w:rPr>
          <w:rFonts w:ascii="Times New Roman" w:hAnsi="Times New Roman"/>
          <w:sz w:val="24"/>
          <w:szCs w:val="24"/>
        </w:rPr>
        <w:t>сентября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0D52F3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D52F3" w:rsidRDefault="00055569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b/>
          <w:color w:val="000000"/>
        </w:rPr>
        <w:t>1</w:t>
      </w:r>
      <w:r w:rsidR="000D52F3">
        <w:rPr>
          <w:color w:val="000000"/>
        </w:rPr>
        <w:t>.</w:t>
      </w:r>
      <w:r w:rsidR="000D52F3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0D52F3" w:rsidRPr="004160D4">
        <w:rPr>
          <w:rStyle w:val="a6"/>
          <w:i w:val="0"/>
          <w:color w:val="000000"/>
        </w:rPr>
        <w:t>СПО филиала ПАО «</w:t>
      </w:r>
      <w:r w:rsidR="000D52F3">
        <w:rPr>
          <w:rStyle w:val="a6"/>
          <w:i w:val="0"/>
          <w:color w:val="000000"/>
        </w:rPr>
        <w:t>М</w:t>
      </w:r>
      <w:r w:rsidR="000D52F3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0D52F3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0D52F3">
        <w:rPr>
          <w:color w:val="000000"/>
        </w:rPr>
        <w:t xml:space="preserve"> Саратовская область, </w:t>
      </w:r>
      <w:r w:rsidR="000D52F3" w:rsidRPr="0000528B">
        <w:rPr>
          <w:color w:val="000000"/>
        </w:rPr>
        <w:t>Пугачевский</w:t>
      </w:r>
      <w:r w:rsidR="000D52F3">
        <w:rPr>
          <w:color w:val="000000"/>
        </w:rPr>
        <w:t xml:space="preserve"> район</w:t>
      </w:r>
      <w:r w:rsidR="000D52F3" w:rsidRPr="0000528B">
        <w:rPr>
          <w:color w:val="000000"/>
        </w:rPr>
        <w:t xml:space="preserve">, </w:t>
      </w:r>
      <w:proofErr w:type="spellStart"/>
      <w:r w:rsidR="000D52F3">
        <w:rPr>
          <w:color w:val="000000"/>
        </w:rPr>
        <w:t>Надеждинское</w:t>
      </w:r>
      <w:proofErr w:type="spellEnd"/>
      <w:r w:rsidR="000D52F3">
        <w:rPr>
          <w:color w:val="000000"/>
        </w:rPr>
        <w:t xml:space="preserve"> МО, примерно в </w:t>
      </w:r>
      <w:r w:rsidR="00537832">
        <w:rPr>
          <w:color w:val="000000"/>
        </w:rPr>
        <w:t>2,8к</w:t>
      </w:r>
      <w:r w:rsidR="000D52F3">
        <w:rPr>
          <w:color w:val="000000"/>
        </w:rPr>
        <w:t>м на северо-</w:t>
      </w:r>
      <w:r w:rsidR="00537832">
        <w:rPr>
          <w:color w:val="000000"/>
        </w:rPr>
        <w:t>восток</w:t>
      </w:r>
      <w:r w:rsidR="000D52F3">
        <w:rPr>
          <w:color w:val="000000"/>
        </w:rPr>
        <w:t xml:space="preserve"> </w:t>
      </w:r>
      <w:r w:rsidR="00537832">
        <w:rPr>
          <w:color w:val="000000"/>
        </w:rPr>
        <w:t>от пункта ГГС 2474</w:t>
      </w:r>
      <w:r w:rsidR="000D52F3">
        <w:rPr>
          <w:color w:val="000000"/>
        </w:rPr>
        <w:t xml:space="preserve">, с </w:t>
      </w:r>
      <w:r w:rsidR="00537832">
        <w:rPr>
          <w:color w:val="000000"/>
        </w:rPr>
        <w:t>кадастровым номером 64:27:030301:1038</w:t>
      </w:r>
      <w:r w:rsidR="000D52F3">
        <w:rPr>
          <w:color w:val="000000"/>
        </w:rPr>
        <w:t>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ВЛ—0,4кВ КТП № </w:t>
      </w:r>
      <w:r w:rsidR="005B5405">
        <w:rPr>
          <w:color w:val="000000"/>
        </w:rPr>
        <w:t>307</w:t>
      </w:r>
      <w:r>
        <w:rPr>
          <w:color w:val="000000"/>
        </w:rPr>
        <w:t xml:space="preserve"> ВЛ-1002 ПС 35 кВ Селезниха.  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0D52F3" w:rsidRPr="0070440E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5B5405">
        <w:rPr>
          <w:color w:val="000000"/>
        </w:rPr>
        <w:t>37/9 от 29.12.2020</w:t>
      </w:r>
      <w:r>
        <w:rPr>
          <w:color w:val="000000"/>
        </w:rPr>
        <w:t>.</w:t>
      </w:r>
    </w:p>
    <w:p w:rsidR="000D52F3" w:rsidRPr="0070440E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E90691">
        <w:rPr>
          <w:color w:val="000000"/>
        </w:rPr>
        <w:t xml:space="preserve">Саратовская область, </w:t>
      </w:r>
      <w:r w:rsidR="00E90691" w:rsidRPr="0000528B">
        <w:rPr>
          <w:color w:val="000000"/>
        </w:rPr>
        <w:t>Пугачевский</w:t>
      </w:r>
      <w:r w:rsidR="00E90691">
        <w:rPr>
          <w:color w:val="000000"/>
        </w:rPr>
        <w:t xml:space="preserve"> район</w:t>
      </w:r>
      <w:r w:rsidR="00E90691" w:rsidRPr="0000528B">
        <w:rPr>
          <w:color w:val="000000"/>
        </w:rPr>
        <w:t xml:space="preserve">, </w:t>
      </w:r>
      <w:proofErr w:type="spellStart"/>
      <w:r w:rsidR="00E90691">
        <w:rPr>
          <w:color w:val="000000"/>
        </w:rPr>
        <w:t>Надеждинское</w:t>
      </w:r>
      <w:proofErr w:type="spellEnd"/>
      <w:r w:rsidR="00E90691">
        <w:rPr>
          <w:color w:val="000000"/>
        </w:rPr>
        <w:t xml:space="preserve"> МО, примерно в 2,8км на северо-восток от пункта ГГС 2474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0D52F3" w:rsidRPr="002D729B" w:rsidRDefault="000D52F3" w:rsidP="000D52F3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5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0D52F3" w:rsidRPr="00E0382F" w:rsidRDefault="000D52F3" w:rsidP="000D52F3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>
        <w:rPr>
          <w:rStyle w:val="a6"/>
          <w:i w:val="0"/>
          <w:color w:val="000000"/>
        </w:rPr>
        <w:t>Надеждинского</w:t>
      </w:r>
      <w:proofErr w:type="spellEnd"/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413710,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.Н</w:t>
      </w:r>
      <w:proofErr w:type="gramEnd"/>
      <w:r>
        <w:rPr>
          <w:rStyle w:val="a6"/>
          <w:i w:val="0"/>
          <w:color w:val="000000"/>
        </w:rPr>
        <w:t>адеждинка</w:t>
      </w:r>
      <w:proofErr w:type="spellEnd"/>
      <w:r>
        <w:rPr>
          <w:rStyle w:val="a6"/>
          <w:i w:val="0"/>
          <w:color w:val="000000"/>
        </w:rPr>
        <w:t>, ул.Победа, 8, тел. 8 (845 74) 3 74 35.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Водоснабжение данного земельного участка будет производиться из существующего полиэтиленового хозяйственно-питьевого водопровода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- 1</w:t>
      </w:r>
      <w:r w:rsidR="007616E4">
        <w:rPr>
          <w:color w:val="000000"/>
        </w:rPr>
        <w:t>1</w:t>
      </w:r>
      <w:r>
        <w:rPr>
          <w:color w:val="000000"/>
        </w:rPr>
        <w:t>0мм,</w:t>
      </w:r>
      <w:r w:rsidR="007616E4">
        <w:rPr>
          <w:color w:val="000000"/>
        </w:rPr>
        <w:t xml:space="preserve"> точка врезки расположена по адресу: Саратовская область, Пугачевский район, село </w:t>
      </w:r>
      <w:proofErr w:type="spellStart"/>
      <w:r w:rsidR="007616E4">
        <w:rPr>
          <w:color w:val="000000"/>
        </w:rPr>
        <w:t>Надеждинка</w:t>
      </w:r>
      <w:proofErr w:type="spellEnd"/>
      <w:r w:rsidR="007616E4">
        <w:rPr>
          <w:color w:val="000000"/>
        </w:rPr>
        <w:t>, ул</w:t>
      </w:r>
      <w:proofErr w:type="gramStart"/>
      <w:r w:rsidR="007616E4">
        <w:rPr>
          <w:color w:val="000000"/>
        </w:rPr>
        <w:t>.М</w:t>
      </w:r>
      <w:proofErr w:type="gramEnd"/>
      <w:r w:rsidR="007616E4">
        <w:rPr>
          <w:color w:val="000000"/>
        </w:rPr>
        <w:t xml:space="preserve">олодежная, </w:t>
      </w:r>
      <w:r w:rsidR="00E51D4B">
        <w:rPr>
          <w:color w:val="000000"/>
        </w:rPr>
        <w:t xml:space="preserve">д.25, </w:t>
      </w:r>
      <w:r>
        <w:rPr>
          <w:color w:val="000000"/>
        </w:rPr>
        <w:t xml:space="preserve"> примерно в </w:t>
      </w:r>
      <w:r w:rsidR="00E51D4B">
        <w:rPr>
          <w:color w:val="000000"/>
        </w:rPr>
        <w:t>20</w:t>
      </w:r>
      <w:r>
        <w:rPr>
          <w:color w:val="000000"/>
        </w:rPr>
        <w:t xml:space="preserve">0м на северо-запад от </w:t>
      </w:r>
      <w:r w:rsidR="00E51D4B">
        <w:rPr>
          <w:color w:val="000000"/>
        </w:rPr>
        <w:t>данного земельного участка</w:t>
      </w:r>
      <w:r>
        <w:rPr>
          <w:color w:val="000000"/>
        </w:rPr>
        <w:t xml:space="preserve">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На месте подключения установить водопроводный колодец Д-1000мм. Глубина заложения водопровода – 1,8м, напор – 20м водяного столба.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0D52F3" w:rsidRPr="005D1417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0D52F3" w:rsidRDefault="000D52F3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07161" w:rsidRPr="00307161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E11" w:rsidRPr="00DF6531" w:rsidRDefault="00C12E11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9C626B" w:rsidRPr="009C626B" w:rsidRDefault="009C626B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9C626B" w:rsidRPr="00083C72" w:rsidRDefault="009C626B" w:rsidP="009C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Надеждинского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spellEnd"/>
      <w:r w:rsidRPr="00083C72">
        <w:rPr>
          <w:rFonts w:ascii="Times New Roman" w:hAnsi="Times New Roman"/>
          <w:b/>
          <w:sz w:val="24"/>
          <w:szCs w:val="24"/>
        </w:rPr>
        <w:t>»).</w:t>
      </w:r>
    </w:p>
    <w:p w:rsidR="00B81A82" w:rsidRPr="009C626B" w:rsidRDefault="00B81A82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B81A82" w:rsidRPr="003C75D3" w:rsidRDefault="00B81A82" w:rsidP="00B81A82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5D3">
        <w:rPr>
          <w:rFonts w:ascii="Times New Roman" w:hAnsi="Times New Roman"/>
          <w:sz w:val="28"/>
          <w:szCs w:val="28"/>
        </w:rPr>
        <w:t>Статья 11.8.</w:t>
      </w:r>
      <w:r w:rsidRPr="003C75D3">
        <w:rPr>
          <w:rFonts w:ascii="Times New Roman" w:hAnsi="Times New Roman"/>
        </w:rPr>
        <w:t xml:space="preserve">  </w:t>
      </w:r>
      <w:r w:rsidRPr="003C75D3">
        <w:rPr>
          <w:rFonts w:ascii="Times New Roman" w:hAnsi="Times New Roman"/>
          <w:sz w:val="24"/>
          <w:szCs w:val="24"/>
          <w:lang w:eastAsia="ar-SA"/>
        </w:rPr>
        <w:t xml:space="preserve">СХ – Зона </w:t>
      </w:r>
      <w:r w:rsidRPr="003C75D3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</w:p>
    <w:p w:rsidR="00B81A82" w:rsidRPr="00B81A82" w:rsidRDefault="00B81A82" w:rsidP="00B81A82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81A82" w:rsidRPr="00B81A82" w:rsidRDefault="00B81A82" w:rsidP="009879DF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Индекс зоны СХ</w:t>
      </w:r>
      <w:proofErr w:type="gramStart"/>
      <w:r w:rsidRPr="00B81A82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</w:p>
    <w:p w:rsidR="0087179D" w:rsidRDefault="00B81A82" w:rsidP="0048223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Зона сельскохозяйственного производства</w:t>
      </w:r>
      <w:r w:rsidR="0087179D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кадастровыми номерами 64:</w:t>
      </w:r>
      <w:r w:rsidR="0048223A">
        <w:rPr>
          <w:rFonts w:ascii="Times New Roman" w:hAnsi="Times New Roman"/>
          <w:b/>
          <w:bCs/>
          <w:sz w:val="24"/>
          <w:szCs w:val="24"/>
        </w:rPr>
        <w:t>27:030301:1038.</w:t>
      </w:r>
    </w:p>
    <w:p w:rsidR="00B81A82" w:rsidRPr="00B81A82" w:rsidRDefault="00B81A82" w:rsidP="00871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</w:p>
    <w:p w:rsidR="00B81A82" w:rsidRPr="00B81A82" w:rsidRDefault="00B81A82" w:rsidP="00C1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11.8.1.</w:t>
      </w:r>
    </w:p>
    <w:p w:rsidR="00B81A82" w:rsidRPr="00B81A82" w:rsidRDefault="00B81A82" w:rsidP="00B81A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center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81A82" w:rsidRPr="00B81A82" w:rsidRDefault="00B81A82" w:rsidP="00B81A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i/>
          <w:iCs/>
          <w:sz w:val="24"/>
          <w:szCs w:val="24"/>
        </w:rPr>
        <w:t>Таблица 11.8.1.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1883"/>
        <w:gridCol w:w="6764"/>
      </w:tblGrid>
      <w:tr w:rsidR="00B81A82" w:rsidRPr="00B81A82" w:rsidTr="008754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81A82" w:rsidRPr="00B81A82" w:rsidTr="00875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B81A82" w:rsidRPr="00B81A82" w:rsidTr="00875445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Хранение и переработка сельскохозяйственной продукции    (код 1.15)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Обеспечение сельскохозяйственного производства</w:t>
            </w:r>
            <w:r w:rsidRPr="00B81A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(код 1.18)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82" w:rsidRPr="00B81A82" w:rsidTr="00875445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Улично-дорожная сеть</w:t>
            </w:r>
            <w:r w:rsidRPr="00B81A82">
              <w:rPr>
                <w:rFonts w:ascii="Times New Roman" w:hAnsi="Times New Roman"/>
                <w:sz w:val="24"/>
                <w:szCs w:val="24"/>
              </w:rPr>
              <w:t xml:space="preserve"> (код 12.0.1)</w:t>
            </w:r>
          </w:p>
          <w:p w:rsidR="00B81A82" w:rsidRPr="00B81A82" w:rsidRDefault="00B81A82" w:rsidP="00B81A82">
            <w:pPr>
              <w:pStyle w:val="s1"/>
              <w:spacing w:before="0" w:beforeAutospacing="0" w:after="0" w:afterAutospacing="0"/>
            </w:pPr>
            <w:r w:rsidRPr="00B81A82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81A82">
              <w:t>велотранспортной</w:t>
            </w:r>
            <w:proofErr w:type="spellEnd"/>
            <w:r w:rsidRPr="00B81A82">
              <w:t xml:space="preserve"> и инженерной инфраструктуры;</w:t>
            </w:r>
          </w:p>
          <w:p w:rsidR="00B81A82" w:rsidRPr="00B81A82" w:rsidRDefault="00B81A82" w:rsidP="00B81A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B81A82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B81A82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" w:anchor="/document/70736874/entry/10271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кодами 2.7.1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" w:anchor="/document/70736874/entry/1049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8" w:anchor="/document/70736874/entry/1723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7.2.3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B81A82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B81A82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947C5F" w:rsidRPr="009B4074" w:rsidRDefault="00947C5F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81A82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B81A82">
        <w:rPr>
          <w:rFonts w:ascii="Times New Roman" w:hAnsi="Times New Roman"/>
          <w:sz w:val="24"/>
          <w:szCs w:val="24"/>
        </w:rPr>
        <w:t>.</w:t>
      </w: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B81A82">
        <w:rPr>
          <w:rFonts w:ascii="Times New Roman" w:hAnsi="Times New Roman"/>
          <w:b/>
          <w:sz w:val="24"/>
          <w:szCs w:val="24"/>
        </w:rPr>
        <w:lastRenderedPageBreak/>
        <w:t>В соответствии с Градостроительным кодексом РФ от 29.12.2004 № 190-ФЗ гл.4., ст. 38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B81A82" w:rsidRDefault="00B81A82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>Максимальный процент застройки земельного участка – 50.</w:t>
      </w:r>
      <w:r w:rsidR="003C75D3">
        <w:rPr>
          <w:rFonts w:ascii="Times New Roman" w:hAnsi="Times New Roman"/>
          <w:sz w:val="24"/>
          <w:szCs w:val="24"/>
        </w:rPr>
        <w:t xml:space="preserve">  </w:t>
      </w: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sectPr w:rsidR="003C75D3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1587F"/>
    <w:rsid w:val="00016A0D"/>
    <w:rsid w:val="000225E1"/>
    <w:rsid w:val="000256A8"/>
    <w:rsid w:val="0003043C"/>
    <w:rsid w:val="00033CC1"/>
    <w:rsid w:val="00044182"/>
    <w:rsid w:val="00047F29"/>
    <w:rsid w:val="00051410"/>
    <w:rsid w:val="00055569"/>
    <w:rsid w:val="00063B0C"/>
    <w:rsid w:val="00066018"/>
    <w:rsid w:val="000715B8"/>
    <w:rsid w:val="0007778F"/>
    <w:rsid w:val="000A2A66"/>
    <w:rsid w:val="000B3AC6"/>
    <w:rsid w:val="000C5E77"/>
    <w:rsid w:val="000C6E83"/>
    <w:rsid w:val="000C77CF"/>
    <w:rsid w:val="000D0E35"/>
    <w:rsid w:val="000D191E"/>
    <w:rsid w:val="000D52F3"/>
    <w:rsid w:val="000D6405"/>
    <w:rsid w:val="000E6484"/>
    <w:rsid w:val="000F3577"/>
    <w:rsid w:val="000F5A5E"/>
    <w:rsid w:val="00112DFC"/>
    <w:rsid w:val="001153ED"/>
    <w:rsid w:val="00122A77"/>
    <w:rsid w:val="00123252"/>
    <w:rsid w:val="00123E07"/>
    <w:rsid w:val="00134AF0"/>
    <w:rsid w:val="001357A2"/>
    <w:rsid w:val="001429FA"/>
    <w:rsid w:val="00153C50"/>
    <w:rsid w:val="001751F5"/>
    <w:rsid w:val="00183B21"/>
    <w:rsid w:val="00187476"/>
    <w:rsid w:val="00194361"/>
    <w:rsid w:val="001B4328"/>
    <w:rsid w:val="001D6719"/>
    <w:rsid w:val="001F030F"/>
    <w:rsid w:val="00211FD1"/>
    <w:rsid w:val="00216885"/>
    <w:rsid w:val="0023028B"/>
    <w:rsid w:val="002323D2"/>
    <w:rsid w:val="00235252"/>
    <w:rsid w:val="00237566"/>
    <w:rsid w:val="00264516"/>
    <w:rsid w:val="00277D81"/>
    <w:rsid w:val="00283028"/>
    <w:rsid w:val="002D2B14"/>
    <w:rsid w:val="002D454C"/>
    <w:rsid w:val="002E135E"/>
    <w:rsid w:val="002E16DD"/>
    <w:rsid w:val="002E41AE"/>
    <w:rsid w:val="002E58A8"/>
    <w:rsid w:val="002E6883"/>
    <w:rsid w:val="00303CA1"/>
    <w:rsid w:val="003059A3"/>
    <w:rsid w:val="00307161"/>
    <w:rsid w:val="003123DF"/>
    <w:rsid w:val="00316330"/>
    <w:rsid w:val="0031796D"/>
    <w:rsid w:val="00325FA4"/>
    <w:rsid w:val="00336224"/>
    <w:rsid w:val="00350F4B"/>
    <w:rsid w:val="00360DFF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E168E"/>
    <w:rsid w:val="003E7401"/>
    <w:rsid w:val="003F4889"/>
    <w:rsid w:val="003F5B68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63F2E"/>
    <w:rsid w:val="0046535B"/>
    <w:rsid w:val="004747C7"/>
    <w:rsid w:val="00477E0A"/>
    <w:rsid w:val="0048223A"/>
    <w:rsid w:val="004835E6"/>
    <w:rsid w:val="004920BD"/>
    <w:rsid w:val="0049217C"/>
    <w:rsid w:val="004A6B87"/>
    <w:rsid w:val="004A7B39"/>
    <w:rsid w:val="004B2C3F"/>
    <w:rsid w:val="004C0EE9"/>
    <w:rsid w:val="004C145A"/>
    <w:rsid w:val="004C1F31"/>
    <w:rsid w:val="004C429A"/>
    <w:rsid w:val="004D02A1"/>
    <w:rsid w:val="004D14F5"/>
    <w:rsid w:val="004D5244"/>
    <w:rsid w:val="004E3C45"/>
    <w:rsid w:val="004E3C7A"/>
    <w:rsid w:val="004E6399"/>
    <w:rsid w:val="004F0874"/>
    <w:rsid w:val="004F7CD5"/>
    <w:rsid w:val="005006EB"/>
    <w:rsid w:val="00500E7D"/>
    <w:rsid w:val="00506A4C"/>
    <w:rsid w:val="005137A9"/>
    <w:rsid w:val="00516171"/>
    <w:rsid w:val="00517339"/>
    <w:rsid w:val="00520CED"/>
    <w:rsid w:val="00523D86"/>
    <w:rsid w:val="00526DDB"/>
    <w:rsid w:val="00533D40"/>
    <w:rsid w:val="00537832"/>
    <w:rsid w:val="00541B9C"/>
    <w:rsid w:val="005443EA"/>
    <w:rsid w:val="0055030D"/>
    <w:rsid w:val="005545D1"/>
    <w:rsid w:val="005610F8"/>
    <w:rsid w:val="005637BD"/>
    <w:rsid w:val="00563D76"/>
    <w:rsid w:val="00574FE5"/>
    <w:rsid w:val="005764E5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1417"/>
    <w:rsid w:val="005D1E32"/>
    <w:rsid w:val="005E440B"/>
    <w:rsid w:val="005F5181"/>
    <w:rsid w:val="00601883"/>
    <w:rsid w:val="006335D2"/>
    <w:rsid w:val="00635EAF"/>
    <w:rsid w:val="00641483"/>
    <w:rsid w:val="006609DF"/>
    <w:rsid w:val="006630AA"/>
    <w:rsid w:val="00663AF5"/>
    <w:rsid w:val="00672FAB"/>
    <w:rsid w:val="006752BD"/>
    <w:rsid w:val="0069107A"/>
    <w:rsid w:val="006956EB"/>
    <w:rsid w:val="006A298A"/>
    <w:rsid w:val="006A5890"/>
    <w:rsid w:val="006B36D2"/>
    <w:rsid w:val="006B70DE"/>
    <w:rsid w:val="006C1D87"/>
    <w:rsid w:val="006C2874"/>
    <w:rsid w:val="006C7DBC"/>
    <w:rsid w:val="006D651E"/>
    <w:rsid w:val="006D759D"/>
    <w:rsid w:val="0071198A"/>
    <w:rsid w:val="00716A75"/>
    <w:rsid w:val="00720473"/>
    <w:rsid w:val="00731823"/>
    <w:rsid w:val="00731C2B"/>
    <w:rsid w:val="0074014B"/>
    <w:rsid w:val="007616E4"/>
    <w:rsid w:val="007852CF"/>
    <w:rsid w:val="00791070"/>
    <w:rsid w:val="00792772"/>
    <w:rsid w:val="007A76A9"/>
    <w:rsid w:val="007B0E03"/>
    <w:rsid w:val="007C72A3"/>
    <w:rsid w:val="007D3C0C"/>
    <w:rsid w:val="007F6D8A"/>
    <w:rsid w:val="008237E1"/>
    <w:rsid w:val="008267D8"/>
    <w:rsid w:val="00830D07"/>
    <w:rsid w:val="00834092"/>
    <w:rsid w:val="00834E7F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E1614"/>
    <w:rsid w:val="008E36A1"/>
    <w:rsid w:val="008E4BA4"/>
    <w:rsid w:val="008E6BA9"/>
    <w:rsid w:val="008F7FBC"/>
    <w:rsid w:val="009002D1"/>
    <w:rsid w:val="00910A11"/>
    <w:rsid w:val="0091335F"/>
    <w:rsid w:val="0091791D"/>
    <w:rsid w:val="009250C0"/>
    <w:rsid w:val="00931CF8"/>
    <w:rsid w:val="00946F27"/>
    <w:rsid w:val="00947C5F"/>
    <w:rsid w:val="00950F8A"/>
    <w:rsid w:val="0095471A"/>
    <w:rsid w:val="00960651"/>
    <w:rsid w:val="00964DEF"/>
    <w:rsid w:val="00974FA4"/>
    <w:rsid w:val="0097502F"/>
    <w:rsid w:val="00977B39"/>
    <w:rsid w:val="009879DF"/>
    <w:rsid w:val="00993E1F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5EE2"/>
    <w:rsid w:val="009F127E"/>
    <w:rsid w:val="00A103C8"/>
    <w:rsid w:val="00A241D4"/>
    <w:rsid w:val="00A3204B"/>
    <w:rsid w:val="00A34697"/>
    <w:rsid w:val="00A36795"/>
    <w:rsid w:val="00A42A7A"/>
    <w:rsid w:val="00A42DBF"/>
    <w:rsid w:val="00A447D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F6125"/>
    <w:rsid w:val="00B036ED"/>
    <w:rsid w:val="00B038BE"/>
    <w:rsid w:val="00B1603E"/>
    <w:rsid w:val="00B16E43"/>
    <w:rsid w:val="00B22418"/>
    <w:rsid w:val="00B2502A"/>
    <w:rsid w:val="00B40888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905AC"/>
    <w:rsid w:val="00B96705"/>
    <w:rsid w:val="00B96BD0"/>
    <w:rsid w:val="00BA4319"/>
    <w:rsid w:val="00BA5269"/>
    <w:rsid w:val="00BA5A56"/>
    <w:rsid w:val="00BC059D"/>
    <w:rsid w:val="00BC11FB"/>
    <w:rsid w:val="00BC76D4"/>
    <w:rsid w:val="00BD47A8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35591"/>
    <w:rsid w:val="00C36F17"/>
    <w:rsid w:val="00C44DD3"/>
    <w:rsid w:val="00C610F0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F515A"/>
    <w:rsid w:val="00D1160A"/>
    <w:rsid w:val="00D3625E"/>
    <w:rsid w:val="00D369C0"/>
    <w:rsid w:val="00D37DEF"/>
    <w:rsid w:val="00D46141"/>
    <w:rsid w:val="00D52D4B"/>
    <w:rsid w:val="00D81050"/>
    <w:rsid w:val="00D834CB"/>
    <w:rsid w:val="00D853FC"/>
    <w:rsid w:val="00D869D4"/>
    <w:rsid w:val="00DA2399"/>
    <w:rsid w:val="00DA4212"/>
    <w:rsid w:val="00DA4BE7"/>
    <w:rsid w:val="00DB28A7"/>
    <w:rsid w:val="00DC77D5"/>
    <w:rsid w:val="00DD2A6B"/>
    <w:rsid w:val="00DD3ABE"/>
    <w:rsid w:val="00DD743A"/>
    <w:rsid w:val="00DE5FBF"/>
    <w:rsid w:val="00DE7437"/>
    <w:rsid w:val="00DF173B"/>
    <w:rsid w:val="00DF608B"/>
    <w:rsid w:val="00DF6531"/>
    <w:rsid w:val="00DF743C"/>
    <w:rsid w:val="00E05D6A"/>
    <w:rsid w:val="00E161F2"/>
    <w:rsid w:val="00E23629"/>
    <w:rsid w:val="00E33BAC"/>
    <w:rsid w:val="00E3444F"/>
    <w:rsid w:val="00E350AB"/>
    <w:rsid w:val="00E37676"/>
    <w:rsid w:val="00E42464"/>
    <w:rsid w:val="00E42AC5"/>
    <w:rsid w:val="00E51D4B"/>
    <w:rsid w:val="00E51E4F"/>
    <w:rsid w:val="00E527F8"/>
    <w:rsid w:val="00E5435B"/>
    <w:rsid w:val="00E7698C"/>
    <w:rsid w:val="00E82DDD"/>
    <w:rsid w:val="00E83E67"/>
    <w:rsid w:val="00E841FE"/>
    <w:rsid w:val="00E90691"/>
    <w:rsid w:val="00E93DB7"/>
    <w:rsid w:val="00EA137A"/>
    <w:rsid w:val="00EB071B"/>
    <w:rsid w:val="00EB113D"/>
    <w:rsid w:val="00EB4215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7B4D"/>
    <w:rsid w:val="00F13C59"/>
    <w:rsid w:val="00F20413"/>
    <w:rsid w:val="00F22E10"/>
    <w:rsid w:val="00F32B83"/>
    <w:rsid w:val="00F33082"/>
    <w:rsid w:val="00F379B9"/>
    <w:rsid w:val="00F44108"/>
    <w:rsid w:val="00F4700C"/>
    <w:rsid w:val="00F4781F"/>
    <w:rsid w:val="00F5476F"/>
    <w:rsid w:val="00F87ABA"/>
    <w:rsid w:val="00F91C54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101</cp:revision>
  <cp:lastPrinted>2021-06-08T11:57:00Z</cp:lastPrinted>
  <dcterms:created xsi:type="dcterms:W3CDTF">2021-02-02T07:51:00Z</dcterms:created>
  <dcterms:modified xsi:type="dcterms:W3CDTF">2021-08-18T05:01:00Z</dcterms:modified>
</cp:coreProperties>
</file>