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3E" w:rsidRPr="00CC11C6" w:rsidRDefault="00B1603E" w:rsidP="00B1603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B1603E" w:rsidRPr="00287830" w:rsidRDefault="00B1603E" w:rsidP="00B1603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B1603E" w:rsidRPr="00552E1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 продаже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ого участка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559"/>
        <w:gridCol w:w="1418"/>
        <w:gridCol w:w="992"/>
        <w:gridCol w:w="1418"/>
        <w:gridCol w:w="1418"/>
        <w:gridCol w:w="1134"/>
      </w:tblGrid>
      <w:tr w:rsidR="00B1603E" w:rsidRPr="00AF18D9" w:rsidTr="00E244D4">
        <w:trPr>
          <w:trHeight w:val="983"/>
        </w:trPr>
        <w:tc>
          <w:tcPr>
            <w:tcW w:w="675" w:type="dxa"/>
          </w:tcPr>
          <w:p w:rsidR="00B1603E" w:rsidRDefault="00B1603E" w:rsidP="00E24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603E" w:rsidRPr="001C0003" w:rsidRDefault="00B1603E" w:rsidP="00E24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ло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</w:rPr>
              <w:t>та</w:t>
            </w:r>
            <w:proofErr w:type="gramEnd"/>
          </w:p>
        </w:tc>
        <w:tc>
          <w:tcPr>
            <w:tcW w:w="2694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559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C0003">
              <w:rPr>
                <w:rFonts w:ascii="Times New Roman" w:hAnsi="Times New Roman"/>
                <w:color w:val="000000"/>
              </w:rPr>
              <w:t>Разрешенное</w:t>
            </w:r>
            <w:proofErr w:type="gramEnd"/>
            <w:r w:rsidRPr="001C00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C0003">
              <w:rPr>
                <w:rFonts w:ascii="Times New Roman" w:hAnsi="Times New Roman"/>
                <w:color w:val="000000"/>
              </w:rPr>
              <w:t>исполь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зование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 xml:space="preserve"> земельного участка</w:t>
            </w:r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4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B1603E" w:rsidRPr="00AF18D9" w:rsidTr="00E244D4">
        <w:trPr>
          <w:trHeight w:val="2827"/>
        </w:trPr>
        <w:tc>
          <w:tcPr>
            <w:tcW w:w="675" w:type="dxa"/>
          </w:tcPr>
          <w:p w:rsidR="00B1603E" w:rsidRPr="000E357B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1603E" w:rsidRPr="009D5A24" w:rsidRDefault="00B1603E" w:rsidP="00E2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607D">
              <w:rPr>
                <w:rFonts w:ascii="Times New Roman" w:hAnsi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</w:rPr>
              <w:t xml:space="preserve"> (кадастровый номер 64:46:</w:t>
            </w:r>
            <w:r w:rsidRPr="00241826">
              <w:rPr>
                <w:rFonts w:ascii="Times New Roman" w:hAnsi="Times New Roman"/>
                <w:color w:val="000000"/>
              </w:rPr>
              <w:t>020724</w:t>
            </w:r>
            <w:r w:rsidRPr="00E1607D">
              <w:rPr>
                <w:rFonts w:ascii="Times New Roman" w:hAnsi="Times New Roman"/>
                <w:color w:val="000000"/>
              </w:rPr>
              <w:t>:</w:t>
            </w:r>
            <w:r w:rsidRPr="00241826">
              <w:rPr>
                <w:rFonts w:ascii="Times New Roman" w:hAnsi="Times New Roman"/>
                <w:color w:val="000000"/>
              </w:rPr>
              <w:t>148</w:t>
            </w:r>
            <w:r w:rsidRPr="00E1607D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E1607D">
              <w:rPr>
                <w:rFonts w:ascii="Times New Roman" w:hAnsi="Times New Roman"/>
                <w:color w:val="000000"/>
              </w:rPr>
              <w:t>рас</w:t>
            </w:r>
            <w:r w:rsidR="00066018">
              <w:rPr>
                <w:rFonts w:ascii="Times New Roman" w:hAnsi="Times New Roman"/>
                <w:color w:val="000000"/>
              </w:rPr>
              <w:t>-</w:t>
            </w:r>
            <w:r w:rsidRPr="00E1607D">
              <w:rPr>
                <w:rFonts w:ascii="Times New Roman" w:hAnsi="Times New Roman"/>
                <w:color w:val="000000"/>
              </w:rPr>
              <w:t>положенный</w:t>
            </w:r>
            <w:proofErr w:type="spellEnd"/>
            <w:proofErr w:type="gramEnd"/>
            <w:r w:rsidRPr="00E1607D">
              <w:rPr>
                <w:rFonts w:ascii="Times New Roman" w:hAnsi="Times New Roman"/>
                <w:color w:val="000000"/>
              </w:rPr>
              <w:t xml:space="preserve"> по адресу: </w:t>
            </w:r>
            <w:r w:rsidRPr="009D5A24">
              <w:rPr>
                <w:rFonts w:ascii="Times New Roman" w:hAnsi="Times New Roman"/>
                <w:color w:val="000000"/>
              </w:rPr>
              <w:t>Саратовская обл., г</w:t>
            </w:r>
            <w:proofErr w:type="gramStart"/>
            <w:r w:rsidRPr="009D5A24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9D5A24">
              <w:rPr>
                <w:rFonts w:ascii="Times New Roman" w:hAnsi="Times New Roman"/>
                <w:color w:val="000000"/>
              </w:rPr>
              <w:t xml:space="preserve">угачев, ул.М.Горького, д.43. </w:t>
            </w:r>
          </w:p>
          <w:p w:rsidR="00B1603E" w:rsidRPr="009D5A24" w:rsidRDefault="00B1603E" w:rsidP="00E2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5A24">
              <w:rPr>
                <w:rFonts w:ascii="Times New Roman" w:hAnsi="Times New Roman"/>
                <w:color w:val="000000"/>
              </w:rPr>
              <w:t xml:space="preserve">Ограничения в </w:t>
            </w:r>
            <w:proofErr w:type="spellStart"/>
            <w:proofErr w:type="gramStart"/>
            <w:r w:rsidRPr="009D5A24">
              <w:rPr>
                <w:rFonts w:ascii="Times New Roman" w:hAnsi="Times New Roman"/>
                <w:color w:val="000000"/>
              </w:rPr>
              <w:t>исполь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9D5A24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9D5A24">
              <w:rPr>
                <w:rFonts w:ascii="Times New Roman" w:hAnsi="Times New Roman"/>
                <w:color w:val="000000"/>
              </w:rPr>
              <w:t xml:space="preserve"> земельного участка, </w:t>
            </w:r>
            <w:proofErr w:type="spellStart"/>
            <w:r w:rsidRPr="009D5A24">
              <w:rPr>
                <w:rFonts w:ascii="Times New Roman" w:hAnsi="Times New Roman"/>
                <w:color w:val="000000"/>
              </w:rPr>
              <w:t>предусмотрен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9D5A24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9D5A24">
              <w:rPr>
                <w:rFonts w:ascii="Times New Roman" w:hAnsi="Times New Roman"/>
                <w:color w:val="000000"/>
              </w:rPr>
              <w:t xml:space="preserve"> статьей 56 </w:t>
            </w:r>
            <w:proofErr w:type="spellStart"/>
            <w:r w:rsidRPr="009D5A24">
              <w:rPr>
                <w:rFonts w:ascii="Times New Roman" w:hAnsi="Times New Roman"/>
                <w:color w:val="000000"/>
              </w:rPr>
              <w:t>Зе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9D5A24">
              <w:rPr>
                <w:rFonts w:ascii="Times New Roman" w:hAnsi="Times New Roman"/>
                <w:color w:val="000000"/>
              </w:rPr>
              <w:t>мельного</w:t>
            </w:r>
            <w:proofErr w:type="spellEnd"/>
            <w:r w:rsidRPr="009D5A24">
              <w:rPr>
                <w:rFonts w:ascii="Times New Roman" w:hAnsi="Times New Roman"/>
                <w:color w:val="000000"/>
              </w:rPr>
              <w:t xml:space="preserve"> кодекса РФ – охранная зона </w:t>
            </w:r>
            <w:proofErr w:type="spellStart"/>
            <w:r w:rsidRPr="009D5A24">
              <w:rPr>
                <w:rFonts w:ascii="Times New Roman" w:hAnsi="Times New Roman"/>
                <w:color w:val="000000"/>
              </w:rPr>
              <w:t>газо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9D5A24">
              <w:rPr>
                <w:rFonts w:ascii="Times New Roman" w:hAnsi="Times New Roman"/>
                <w:color w:val="000000"/>
              </w:rPr>
              <w:t>провода</w:t>
            </w:r>
            <w:proofErr w:type="spellEnd"/>
            <w:r w:rsidRPr="009D5A24">
              <w:rPr>
                <w:rFonts w:ascii="Times New Roman" w:hAnsi="Times New Roman"/>
                <w:color w:val="000000"/>
              </w:rPr>
              <w:t xml:space="preserve"> низкого давления протяжен</w:t>
            </w:r>
            <w:r>
              <w:rPr>
                <w:rFonts w:ascii="Times New Roman" w:hAnsi="Times New Roman"/>
                <w:color w:val="000000"/>
              </w:rPr>
              <w:t xml:space="preserve">ность 1844,9м,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инв.</w:t>
            </w:r>
            <w:r w:rsidRPr="009D5A24">
              <w:rPr>
                <w:rFonts w:ascii="Times New Roman" w:hAnsi="Times New Roman"/>
                <w:color w:val="000000"/>
              </w:rPr>
              <w:t>№</w:t>
            </w:r>
            <w:proofErr w:type="spellEnd"/>
            <w:r w:rsidRPr="009D5A24">
              <w:rPr>
                <w:rFonts w:ascii="Times New Roman" w:hAnsi="Times New Roman"/>
                <w:color w:val="000000"/>
              </w:rPr>
              <w:t xml:space="preserve"> 23058, лит 1, с кадастровым номером 64:46:000000:2013, </w:t>
            </w:r>
            <w:proofErr w:type="spellStart"/>
            <w:r w:rsidRPr="009D5A24">
              <w:rPr>
                <w:rFonts w:ascii="Times New Roman" w:hAnsi="Times New Roman"/>
                <w:color w:val="000000"/>
              </w:rPr>
              <w:t>рас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9D5A24">
              <w:rPr>
                <w:rFonts w:ascii="Times New Roman" w:hAnsi="Times New Roman"/>
                <w:color w:val="000000"/>
              </w:rPr>
              <w:t>положенного</w:t>
            </w:r>
            <w:proofErr w:type="spellEnd"/>
            <w:r w:rsidRPr="009D5A24">
              <w:rPr>
                <w:rFonts w:ascii="Times New Roman" w:hAnsi="Times New Roman"/>
                <w:color w:val="000000"/>
              </w:rPr>
              <w:t xml:space="preserve"> по адресу: Саратовская область, г</w:t>
            </w:r>
            <w:proofErr w:type="gramStart"/>
            <w:r w:rsidRPr="009D5A24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9D5A24">
              <w:rPr>
                <w:rFonts w:ascii="Times New Roman" w:hAnsi="Times New Roman"/>
                <w:color w:val="000000"/>
              </w:rPr>
              <w:t xml:space="preserve">угачев, квартал № 23. </w:t>
            </w:r>
          </w:p>
          <w:p w:rsidR="00B1603E" w:rsidRPr="009D5A24" w:rsidRDefault="00B1603E" w:rsidP="00E2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1603E" w:rsidRPr="009D5A24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5A24"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proofErr w:type="gramStart"/>
            <w:r w:rsidRPr="009D5A24">
              <w:rPr>
                <w:rFonts w:ascii="Times New Roman" w:hAnsi="Times New Roman"/>
                <w:color w:val="000000"/>
              </w:rPr>
              <w:t>индиви-дуального</w:t>
            </w:r>
            <w:proofErr w:type="spellEnd"/>
            <w:proofErr w:type="gramEnd"/>
            <w:r w:rsidRPr="009D5A24">
              <w:rPr>
                <w:rFonts w:ascii="Times New Roman" w:hAnsi="Times New Roman"/>
                <w:color w:val="000000"/>
              </w:rPr>
              <w:t xml:space="preserve"> жилищного </w:t>
            </w:r>
            <w:proofErr w:type="spellStart"/>
            <w:r w:rsidRPr="009D5A24">
              <w:rPr>
                <w:rFonts w:ascii="Times New Roman" w:hAnsi="Times New Roman"/>
                <w:color w:val="000000"/>
              </w:rPr>
              <w:t>строитель-ства</w:t>
            </w:r>
            <w:proofErr w:type="spellEnd"/>
          </w:p>
        </w:tc>
        <w:tc>
          <w:tcPr>
            <w:tcW w:w="1418" w:type="dxa"/>
          </w:tcPr>
          <w:p w:rsidR="00B1603E" w:rsidRPr="009D5A24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5A24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B1603E" w:rsidRPr="009D5A24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5A24">
              <w:rPr>
                <w:rFonts w:ascii="Times New Roman" w:hAnsi="Times New Roman"/>
                <w:color w:val="000000"/>
              </w:rPr>
              <w:t>737</w:t>
            </w:r>
          </w:p>
        </w:tc>
        <w:tc>
          <w:tcPr>
            <w:tcW w:w="1418" w:type="dxa"/>
          </w:tcPr>
          <w:p w:rsidR="00B1603E" w:rsidRPr="007A76A9" w:rsidRDefault="007A76A9" w:rsidP="007A76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796 000.00</w:t>
            </w:r>
          </w:p>
        </w:tc>
        <w:tc>
          <w:tcPr>
            <w:tcW w:w="1418" w:type="dxa"/>
          </w:tcPr>
          <w:p w:rsidR="00B1603E" w:rsidRPr="007A76A9" w:rsidRDefault="007A76A9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796 000.00</w:t>
            </w:r>
          </w:p>
        </w:tc>
        <w:tc>
          <w:tcPr>
            <w:tcW w:w="1134" w:type="dxa"/>
          </w:tcPr>
          <w:p w:rsidR="00B1603E" w:rsidRPr="007A76A9" w:rsidRDefault="007A76A9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23880.00</w:t>
            </w:r>
          </w:p>
        </w:tc>
      </w:tr>
    </w:tbl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  <w:lang w:val="en-US"/>
        </w:rPr>
      </w:pPr>
    </w:p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CC11C6"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</w:t>
      </w:r>
      <w:r w:rsidR="00CC11C6">
        <w:rPr>
          <w:b/>
          <w:color w:val="000000"/>
          <w:szCs w:val="24"/>
        </w:rPr>
        <w:t>ноября 2020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CC11C6">
        <w:rPr>
          <w:b/>
          <w:color w:val="000000"/>
          <w:szCs w:val="24"/>
        </w:rPr>
        <w:t>08:3</w:t>
      </w:r>
      <w:r w:rsidRPr="00287830">
        <w:rPr>
          <w:b/>
          <w:color w:val="000000"/>
          <w:szCs w:val="24"/>
        </w:rPr>
        <w:t>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F82444">
        <w:rPr>
          <w:color w:val="000000"/>
          <w:szCs w:val="24"/>
        </w:rPr>
        <w:t xml:space="preserve">от </w:t>
      </w:r>
      <w:r w:rsidR="00CC11C6">
        <w:rPr>
          <w:color w:val="000000"/>
          <w:szCs w:val="24"/>
        </w:rPr>
        <w:t>7</w:t>
      </w:r>
      <w:r w:rsidRPr="00E31716">
        <w:rPr>
          <w:color w:val="000000"/>
          <w:szCs w:val="24"/>
        </w:rPr>
        <w:t xml:space="preserve"> </w:t>
      </w:r>
      <w:r w:rsidR="00CC11C6">
        <w:rPr>
          <w:color w:val="000000"/>
          <w:szCs w:val="24"/>
        </w:rPr>
        <w:t>сентя</w:t>
      </w:r>
      <w:r>
        <w:rPr>
          <w:color w:val="000000"/>
          <w:szCs w:val="24"/>
        </w:rPr>
        <w:t>бря</w:t>
      </w:r>
      <w:r w:rsidR="00CC11C6">
        <w:rPr>
          <w:color w:val="000000"/>
          <w:szCs w:val="24"/>
        </w:rPr>
        <w:t xml:space="preserve"> 2020</w:t>
      </w:r>
      <w:r w:rsidRPr="00E31716">
        <w:rPr>
          <w:color w:val="000000"/>
          <w:szCs w:val="24"/>
        </w:rPr>
        <w:t xml:space="preserve"> года № </w:t>
      </w:r>
      <w:r w:rsidRPr="00243C15">
        <w:rPr>
          <w:color w:val="000000"/>
          <w:szCs w:val="24"/>
        </w:rPr>
        <w:t>1</w:t>
      </w:r>
      <w:r w:rsidR="00CC11C6">
        <w:rPr>
          <w:color w:val="000000"/>
          <w:szCs w:val="24"/>
        </w:rPr>
        <w:t>30</w:t>
      </w:r>
      <w:r w:rsidRPr="00E31716">
        <w:rPr>
          <w:color w:val="000000"/>
          <w:szCs w:val="24"/>
        </w:rPr>
        <w:t>-р «О проведении открытого аукциона по продаже земельн</w:t>
      </w:r>
      <w:r>
        <w:rPr>
          <w:color w:val="000000"/>
          <w:szCs w:val="24"/>
        </w:rPr>
        <w:t>ого</w:t>
      </w:r>
      <w:r w:rsidRPr="00E31716">
        <w:rPr>
          <w:color w:val="000000"/>
          <w:szCs w:val="24"/>
        </w:rPr>
        <w:t xml:space="preserve"> участк</w:t>
      </w:r>
      <w:r>
        <w:rPr>
          <w:color w:val="000000"/>
          <w:szCs w:val="24"/>
        </w:rPr>
        <w:t>а</w:t>
      </w:r>
      <w:r w:rsidRPr="00E31716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 w:rsidR="00CC11C6">
        <w:rPr>
          <w:color w:val="000000"/>
          <w:szCs w:val="24"/>
        </w:rPr>
        <w:t>, кабинет № 7</w:t>
      </w:r>
      <w:r>
        <w:rPr>
          <w:color w:val="000000"/>
          <w:szCs w:val="24"/>
        </w:rPr>
        <w:t>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 xml:space="preserve">с </w:t>
      </w:r>
      <w:r w:rsidR="00CC11C6">
        <w:rPr>
          <w:szCs w:val="24"/>
        </w:rPr>
        <w:t>24 сентября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CC11C6">
        <w:rPr>
          <w:szCs w:val="24"/>
        </w:rPr>
        <w:t>27 октября</w:t>
      </w:r>
      <w:r w:rsidR="00CC11C6">
        <w:rPr>
          <w:color w:val="000000"/>
          <w:szCs w:val="24"/>
        </w:rPr>
        <w:t xml:space="preserve"> 2020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B1603E" w:rsidRPr="006A4E4B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B1603E" w:rsidRPr="00575BA3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B1603E" w:rsidRDefault="00B1603E" w:rsidP="00B1603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75BA3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575BA3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B1603E" w:rsidRPr="00361846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>УФК по Саратовской области (А</w:t>
      </w:r>
      <w:r w:rsidRPr="003F3561">
        <w:rPr>
          <w:color w:val="000000"/>
          <w:szCs w:val="24"/>
        </w:rPr>
        <w:t>дминистрация Пугачевского муниципального района Са</w:t>
      </w:r>
      <w:r>
        <w:rPr>
          <w:color w:val="000000"/>
          <w:szCs w:val="24"/>
        </w:rPr>
        <w:t xml:space="preserve">ратовской области)  л/с 05603032590,  </w:t>
      </w:r>
      <w:proofErr w:type="spellStart"/>
      <w:proofErr w:type="gramStart"/>
      <w:r>
        <w:rPr>
          <w:color w:val="000000"/>
          <w:szCs w:val="24"/>
        </w:rPr>
        <w:t>р</w:t>
      </w:r>
      <w:proofErr w:type="spellEnd"/>
      <w:proofErr w:type="gramEnd"/>
      <w:r>
        <w:rPr>
          <w:color w:val="000000"/>
          <w:szCs w:val="24"/>
        </w:rPr>
        <w:t>/с 40302810263113000031</w:t>
      </w:r>
      <w:r w:rsidRPr="003F3561">
        <w:rPr>
          <w:color w:val="000000"/>
          <w:szCs w:val="24"/>
        </w:rPr>
        <w:t>, ИН</w:t>
      </w:r>
      <w:r>
        <w:rPr>
          <w:color w:val="000000"/>
          <w:szCs w:val="24"/>
        </w:rPr>
        <w:t xml:space="preserve">Н 6445009150,                        КПП </w:t>
      </w:r>
      <w:r w:rsidRPr="00361846">
        <w:rPr>
          <w:color w:val="000000"/>
          <w:szCs w:val="24"/>
        </w:rPr>
        <w:t xml:space="preserve">644501001,   БИК 046311001. 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цене земельного участка</w:t>
      </w:r>
      <w:r w:rsidRPr="00957B06">
        <w:rPr>
          <w:rFonts w:ascii="Times New Roman" w:hAnsi="Times New Roman"/>
          <w:sz w:val="24"/>
          <w:szCs w:val="24"/>
        </w:rPr>
        <w:t>, проводится в следующем порядке: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цены земельного участка,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4"/>
      <w:r>
        <w:rPr>
          <w:rFonts w:ascii="Times New Roman" w:hAnsi="Times New Roman"/>
          <w:sz w:val="24"/>
          <w:szCs w:val="24"/>
        </w:rPr>
        <w:t>г) каждую последующую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текущей цены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5"/>
      <w:bookmarkEnd w:id="7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>ых купить земельный участок</w:t>
      </w:r>
      <w:r w:rsidRPr="00957B06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ценой</w:t>
      </w:r>
      <w:r w:rsidRPr="00957B06">
        <w:rPr>
          <w:rFonts w:ascii="Times New Roman" w:hAnsi="Times New Roman"/>
          <w:sz w:val="24"/>
          <w:szCs w:val="24"/>
        </w:rPr>
        <w:t>, ау</w:t>
      </w:r>
      <w:r>
        <w:rPr>
          <w:rFonts w:ascii="Times New Roman" w:hAnsi="Times New Roman"/>
          <w:sz w:val="24"/>
          <w:szCs w:val="24"/>
        </w:rPr>
        <w:t>кционист повторяет эту цену</w:t>
      </w:r>
      <w:r w:rsidRPr="00957B06">
        <w:rPr>
          <w:rFonts w:ascii="Times New Roman" w:hAnsi="Times New Roman"/>
          <w:sz w:val="24"/>
          <w:szCs w:val="24"/>
        </w:rPr>
        <w:t xml:space="preserve"> 3 раза.</w:t>
      </w:r>
    </w:p>
    <w:bookmarkEnd w:id="8"/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B1603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продаже земельного участка, называет цену проданного земельного участка</w:t>
      </w:r>
      <w:r w:rsidRPr="00957B06">
        <w:rPr>
          <w:rFonts w:ascii="Times New Roman" w:hAnsi="Times New Roman"/>
          <w:sz w:val="24"/>
          <w:szCs w:val="24"/>
        </w:rPr>
        <w:t xml:space="preserve">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9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Pr="001466E1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Pr="00C5302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C11C6">
        <w:rPr>
          <w:rFonts w:ascii="Times New Roman" w:hAnsi="Times New Roman"/>
          <w:sz w:val="24"/>
          <w:szCs w:val="24"/>
        </w:rPr>
        <w:t>10 часов 00 минут 28</w:t>
      </w:r>
      <w:r>
        <w:rPr>
          <w:rFonts w:ascii="Times New Roman" w:hAnsi="Times New Roman"/>
          <w:sz w:val="24"/>
          <w:szCs w:val="24"/>
        </w:rPr>
        <w:t xml:space="preserve"> </w:t>
      </w:r>
      <w:r w:rsidR="00CC11C6">
        <w:rPr>
          <w:rFonts w:ascii="Times New Roman" w:hAnsi="Times New Roman"/>
          <w:sz w:val="24"/>
          <w:szCs w:val="24"/>
        </w:rPr>
        <w:t>октя</w:t>
      </w:r>
      <w:r>
        <w:rPr>
          <w:rFonts w:ascii="Times New Roman" w:hAnsi="Times New Roman"/>
          <w:sz w:val="24"/>
          <w:szCs w:val="24"/>
        </w:rPr>
        <w:t>бря</w:t>
      </w:r>
      <w:r w:rsidR="00CC11C6">
        <w:rPr>
          <w:rFonts w:ascii="Times New Roman" w:hAnsi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>
        <w:rPr>
          <w:rFonts w:ascii="Times New Roman" w:hAnsi="Times New Roman"/>
          <w:color w:val="000000"/>
          <w:sz w:val="24"/>
          <w:szCs w:val="24"/>
        </w:rPr>
        <w:t xml:space="preserve">, кабинет № 8.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B1603E" w:rsidRPr="00C60B58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Pr="00E66BB4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603E" w:rsidRPr="00C60B58" w:rsidRDefault="00B1603E" w:rsidP="00B160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B1603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>дложивший наибольшую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цену</w:t>
      </w:r>
      <w:r w:rsidRPr="000B45B3">
        <w:rPr>
          <w:rFonts w:ascii="Times New Roman" w:hAnsi="Times New Roman"/>
          <w:sz w:val="24"/>
          <w:szCs w:val="24"/>
        </w:rPr>
        <w:t xml:space="preserve">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00E86">
        <w:rPr>
          <w:rFonts w:ascii="Times New Roman" w:hAnsi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B1603E" w:rsidRPr="00DC2E95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Договор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 в сети «Интернет»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оплату приобретаемого земельного участка</w:t>
      </w:r>
      <w:r w:rsidRPr="000B45B3">
        <w:rPr>
          <w:rFonts w:ascii="Times New Roman" w:hAnsi="Times New Roman"/>
          <w:sz w:val="24"/>
          <w:szCs w:val="24"/>
        </w:rPr>
        <w:t>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договор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B1603E" w:rsidRPr="00B27E8C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B1603E" w:rsidRPr="00B27E8C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0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0"/>
    <w:p w:rsidR="00B1603E" w:rsidRPr="00707C6D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</w:t>
      </w:r>
      <w:r w:rsidRPr="000C2327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Pr="00802469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Форма заявки и проект договора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земельного участка по результатам </w:t>
      </w:r>
      <w:r>
        <w:rPr>
          <w:rFonts w:ascii="Times New Roman" w:hAnsi="Times New Roman"/>
          <w:color w:val="000000"/>
          <w:sz w:val="24"/>
          <w:szCs w:val="24"/>
        </w:rPr>
        <w:t>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опубликованы на официальном сайте Российской Федерации для размещения информации о проведении торгов: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F77D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9832D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80246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Pr="006009E4" w:rsidRDefault="00B1603E" w:rsidP="00B1603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70440E">
        <w:rPr>
          <w:rStyle w:val="a6"/>
          <w:b/>
          <w:bCs/>
          <w:i w:val="0"/>
          <w:color w:val="000000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</w:t>
      </w:r>
      <w:r>
        <w:rPr>
          <w:rStyle w:val="a6"/>
          <w:b/>
          <w:bCs/>
          <w:i w:val="0"/>
          <w:color w:val="000000"/>
        </w:rPr>
        <w:t xml:space="preserve"> </w:t>
      </w:r>
    </w:p>
    <w:p w:rsidR="00B1603E" w:rsidRPr="000C17EF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b/>
          <w:color w:val="000000"/>
        </w:rPr>
        <w:t>1</w:t>
      </w:r>
      <w:r w:rsidRPr="005F4339">
        <w:rPr>
          <w:b/>
          <w:color w:val="000000"/>
        </w:rPr>
        <w:t>.</w:t>
      </w:r>
      <w:r w:rsidRPr="007A7B32">
        <w:rPr>
          <w:rStyle w:val="a6"/>
          <w:i w:val="0"/>
          <w:color w:val="000000"/>
        </w:rPr>
        <w:t xml:space="preserve"> </w:t>
      </w:r>
      <w:r w:rsidRPr="008C01CE">
        <w:rPr>
          <w:rStyle w:val="a6"/>
          <w:i w:val="0"/>
          <w:color w:val="000000"/>
        </w:rPr>
        <w:t>Технические условия на электроснабжение, предоставленные ОАО «</w:t>
      </w:r>
      <w:proofErr w:type="spellStart"/>
      <w:r w:rsidRPr="008C01CE">
        <w:rPr>
          <w:rStyle w:val="a6"/>
          <w:i w:val="0"/>
          <w:color w:val="000000"/>
        </w:rPr>
        <w:t>Облкоммунэнерго</w:t>
      </w:r>
      <w:proofErr w:type="spellEnd"/>
      <w:r w:rsidRPr="008C01CE">
        <w:rPr>
          <w:rStyle w:val="a6"/>
          <w:i w:val="0"/>
          <w:color w:val="000000"/>
        </w:rPr>
        <w:t xml:space="preserve">» </w:t>
      </w:r>
      <w:r w:rsidRPr="008C01CE">
        <w:rPr>
          <w:color w:val="000000"/>
        </w:rPr>
        <w:t>филиал Пугачевские городские электрические сети</w:t>
      </w:r>
      <w:r w:rsidRPr="008C01CE">
        <w:rPr>
          <w:rStyle w:val="a6"/>
          <w:i w:val="0"/>
          <w:color w:val="000000"/>
        </w:rPr>
        <w:t xml:space="preserve"> в отношении земельного участка</w:t>
      </w:r>
      <w:r w:rsidRPr="00641D66">
        <w:rPr>
          <w:rStyle w:val="a6"/>
          <w:i w:val="0"/>
          <w:color w:val="000000"/>
        </w:rPr>
        <w:t>, расположенного по адресу</w:t>
      </w:r>
      <w:r w:rsidRPr="00BC583E">
        <w:rPr>
          <w:color w:val="000000"/>
        </w:rPr>
        <w:t xml:space="preserve"> </w:t>
      </w:r>
      <w:r w:rsidRPr="009D5A24">
        <w:rPr>
          <w:color w:val="000000"/>
        </w:rPr>
        <w:t>Саратовская обл., г</w:t>
      </w:r>
      <w:proofErr w:type="gramStart"/>
      <w:r w:rsidRPr="009D5A24">
        <w:rPr>
          <w:color w:val="000000"/>
        </w:rPr>
        <w:t>.П</w:t>
      </w:r>
      <w:proofErr w:type="gramEnd"/>
      <w:r w:rsidRPr="009D5A24">
        <w:rPr>
          <w:color w:val="000000"/>
        </w:rPr>
        <w:t>угачев, ул.М.Горького, д.43</w:t>
      </w:r>
      <w:r w:rsidRPr="00641D66">
        <w:rPr>
          <w:rStyle w:val="a6"/>
          <w:i w:val="0"/>
          <w:color w:val="000000"/>
        </w:rPr>
        <w:t>, кадастровый номер</w:t>
      </w:r>
      <w:r>
        <w:rPr>
          <w:color w:val="000000"/>
        </w:rPr>
        <w:t xml:space="preserve"> 64:46:020724:148</w:t>
      </w:r>
      <w:r w:rsidRPr="0070440E">
        <w:rPr>
          <w:color w:val="000000"/>
        </w:rPr>
        <w:t>.</w:t>
      </w:r>
      <w:r>
        <w:rPr>
          <w:color w:val="000000"/>
        </w:rPr>
        <w:t xml:space="preserve"> 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Максимальная мощность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Заявителя составляет       15,0 кВт.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Класс напряжения электрический сетей, к которым осуществляется технологическое присоединение </w:t>
      </w:r>
      <w:r>
        <w:rPr>
          <w:color w:val="000000"/>
        </w:rPr>
        <w:t>0,4</w:t>
      </w:r>
      <w:r w:rsidRPr="0070440E">
        <w:rPr>
          <w:color w:val="000000"/>
        </w:rPr>
        <w:t>кВ</w:t>
      </w:r>
      <w:r>
        <w:rPr>
          <w:color w:val="000000"/>
        </w:rPr>
        <w:t xml:space="preserve"> </w:t>
      </w:r>
      <w:r w:rsidRPr="0070440E">
        <w:rPr>
          <w:color w:val="000000"/>
        </w:rPr>
        <w:t xml:space="preserve">(трехфазный ввод). 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Точка присоединения: РУ-0,4 кВ КТП-17, опора № 2-17/38</w:t>
      </w:r>
      <w:r w:rsidRPr="0070440E">
        <w:rPr>
          <w:color w:val="000000"/>
        </w:rPr>
        <w:t xml:space="preserve">. 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источник питания: РУ-0.4кВ КТП-17</w:t>
      </w:r>
      <w:r w:rsidRPr="0070440E">
        <w:rPr>
          <w:color w:val="000000"/>
        </w:rPr>
        <w:t xml:space="preserve">, </w:t>
      </w:r>
      <w:r>
        <w:rPr>
          <w:color w:val="000000"/>
        </w:rPr>
        <w:t xml:space="preserve">ВЛ-6кВ Фидер-608, </w:t>
      </w:r>
      <w:r w:rsidRPr="0070440E">
        <w:rPr>
          <w:color w:val="000000"/>
        </w:rPr>
        <w:t>ПС «</w:t>
      </w:r>
      <w:r>
        <w:rPr>
          <w:color w:val="000000"/>
        </w:rPr>
        <w:t>Пугачевская» 110</w:t>
      </w:r>
      <w:r w:rsidRPr="0070440E">
        <w:rPr>
          <w:color w:val="000000"/>
        </w:rPr>
        <w:t>/</w:t>
      </w:r>
      <w:r>
        <w:rPr>
          <w:color w:val="000000"/>
        </w:rPr>
        <w:t>35/6</w:t>
      </w:r>
      <w:r w:rsidRPr="0070440E">
        <w:rPr>
          <w:color w:val="000000"/>
        </w:rPr>
        <w:t xml:space="preserve">кВ. 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12</w:t>
      </w:r>
      <w:r w:rsidRPr="0070440E">
        <w:rPr>
          <w:color w:val="000000"/>
        </w:rPr>
        <w:t>м</w:t>
      </w:r>
      <w:r>
        <w:rPr>
          <w:color w:val="000000"/>
        </w:rPr>
        <w:t>етров</w:t>
      </w:r>
      <w:r w:rsidRPr="0070440E">
        <w:rPr>
          <w:color w:val="000000"/>
        </w:rPr>
        <w:t>.</w:t>
      </w:r>
      <w:r>
        <w:rPr>
          <w:color w:val="000000"/>
        </w:rPr>
        <w:t xml:space="preserve"> 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>Размер платы</w:t>
      </w:r>
      <w:r w:rsidRPr="0070440E">
        <w:rPr>
          <w:color w:val="000000"/>
        </w:rPr>
        <w:t xml:space="preserve">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550 рублей при условии, что расстояние от границ участка заявителя до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 необходимого заявителю класса напряжения сетевой организации, в которую подана заявка, составляет не более</w:t>
      </w:r>
      <w:proofErr w:type="gramEnd"/>
      <w:r w:rsidRPr="0070440E">
        <w:rPr>
          <w:color w:val="000000"/>
        </w:rPr>
        <w:t xml:space="preserve"> 300 метров в городах и поселках </w:t>
      </w:r>
      <w:r w:rsidRPr="0070440E">
        <w:rPr>
          <w:color w:val="000000"/>
        </w:rPr>
        <w:lastRenderedPageBreak/>
        <w:t>городского типа и не более 500 метров в сельской местности</w:t>
      </w:r>
      <w:r>
        <w:rPr>
          <w:color w:val="000000"/>
        </w:rPr>
        <w:t xml:space="preserve"> (Постановления Комитета государственного регулирования тарифов Саратовской области № 57/1 от 27.12.2018)</w:t>
      </w:r>
      <w:r w:rsidRPr="0070440E">
        <w:rPr>
          <w:color w:val="000000"/>
        </w:rPr>
        <w:t xml:space="preserve">. </w:t>
      </w: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Pr="009D5A24">
        <w:rPr>
          <w:color w:val="000000"/>
        </w:rPr>
        <w:t>Саратовская обл., г</w:t>
      </w:r>
      <w:proofErr w:type="gramStart"/>
      <w:r w:rsidRPr="009D5A24">
        <w:rPr>
          <w:color w:val="000000"/>
        </w:rPr>
        <w:t>.П</w:t>
      </w:r>
      <w:proofErr w:type="gramEnd"/>
      <w:r w:rsidRPr="009D5A24">
        <w:rPr>
          <w:color w:val="000000"/>
        </w:rPr>
        <w:t>угачев, ул.М.Горького, д.43</w:t>
      </w:r>
      <w:r>
        <w:rPr>
          <w:color w:val="000000"/>
        </w:rPr>
        <w:t>,</w:t>
      </w:r>
      <w:r w:rsidRPr="003A058E">
        <w:rPr>
          <w:color w:val="000000"/>
        </w:rPr>
        <w:t xml:space="preserve"> необходимо заключение договора на технологическое присоединение к электрическим сетям ОАО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>» расположенного по адресу: Саратовская область, г</w:t>
      </w:r>
      <w:proofErr w:type="gramStart"/>
      <w:r w:rsidRPr="003A058E">
        <w:rPr>
          <w:color w:val="000000"/>
        </w:rPr>
        <w:t>.П</w:t>
      </w:r>
      <w:proofErr w:type="gramEnd"/>
      <w:r w:rsidRPr="003A058E">
        <w:rPr>
          <w:color w:val="000000"/>
        </w:rPr>
        <w:t>угачев, ул.Интернациональная,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062A12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водоснабжения и канализации, предоставлены ФГУП СО «</w:t>
      </w:r>
      <w:proofErr w:type="spellStart"/>
      <w:r w:rsidRPr="00062A12">
        <w:rPr>
          <w:rStyle w:val="a6"/>
          <w:i w:val="0"/>
          <w:color w:val="000000"/>
        </w:rPr>
        <w:t>Облводоресурс</w:t>
      </w:r>
      <w:proofErr w:type="spellEnd"/>
      <w:r w:rsidRPr="00062A12">
        <w:rPr>
          <w:rStyle w:val="a6"/>
          <w:i w:val="0"/>
          <w:color w:val="000000"/>
        </w:rPr>
        <w:t>» - «Пугачевский», адрес организации: Са</w:t>
      </w:r>
      <w:r>
        <w:rPr>
          <w:rStyle w:val="a6"/>
          <w:i w:val="0"/>
          <w:color w:val="000000"/>
        </w:rPr>
        <w:t>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</w:t>
      </w:r>
      <w:proofErr w:type="spellStart"/>
      <w:r>
        <w:rPr>
          <w:rStyle w:val="a6"/>
          <w:i w:val="0"/>
          <w:color w:val="000000"/>
        </w:rPr>
        <w:t>мкр.Первый</w:t>
      </w:r>
      <w:proofErr w:type="spellEnd"/>
      <w:r w:rsidRPr="00062A12">
        <w:rPr>
          <w:rStyle w:val="a6"/>
          <w:i w:val="0"/>
          <w:color w:val="000000"/>
        </w:rPr>
        <w:t>, д.28/1, тел. 8 (845 74) 2-71-41.</w:t>
      </w:r>
      <w:r>
        <w:rPr>
          <w:rStyle w:val="a6"/>
          <w:i w:val="0"/>
          <w:color w:val="000000"/>
        </w:rPr>
        <w:t xml:space="preserve"> 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Место подключения к системе водоснабжения в проектируемый водопроводный колодец  диаметром 1000мм, по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расноармейская. Диаметр водопровода 110мм, ПНД. 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Подключение к системе водоотведения (технологическое присоединение) невозможно, тат как отсутствует техническая возможность. Возможно строительство накопителя сточных вод, при условии согласования с отделом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в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 и администрацией Пугачевского муниципального района.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 действия технических условий составляет три года с момента выдачи технических условий заказчику (владельцу земельного участка).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сети газораспределения. 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настоящих технических условий составляет 70 дней. 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Дополнительные сведения: размер платы за подключение  определяется в соответствии с Методическими указаниями утвержденными Постановлением ФСТ  от 18.08.2018 № 1151/18 и  постановлениями комитета государственного регулирования тарифов Саратовской области.</w:t>
      </w:r>
    </w:p>
    <w:p w:rsidR="00B1603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B1603E" w:rsidRPr="0070440E" w:rsidRDefault="00B1603E" w:rsidP="00B1603E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B1603E" w:rsidRDefault="00B1603E" w:rsidP="00B160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1603E" w:rsidRDefault="00B1603E" w:rsidP="00B160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1603E" w:rsidRDefault="00B1603E" w:rsidP="00B160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F3528">
        <w:rPr>
          <w:rFonts w:ascii="Times New Roman" w:hAnsi="Times New Roman"/>
          <w:b/>
          <w:bCs/>
          <w:iCs/>
          <w:sz w:val="24"/>
          <w:szCs w:val="24"/>
        </w:rPr>
        <w:t>Максимально и (или) минимально допустимые параметры ра</w:t>
      </w:r>
      <w:r>
        <w:rPr>
          <w:rFonts w:ascii="Times New Roman" w:hAnsi="Times New Roman"/>
          <w:b/>
          <w:bCs/>
          <w:iCs/>
          <w:sz w:val="24"/>
          <w:szCs w:val="24"/>
        </w:rPr>
        <w:t>зрешенного строительства объектов</w:t>
      </w:r>
      <w:r w:rsidRPr="00FF3528">
        <w:rPr>
          <w:rFonts w:ascii="Times New Roman" w:hAnsi="Times New Roman"/>
          <w:b/>
          <w:bCs/>
          <w:iCs/>
          <w:sz w:val="24"/>
          <w:szCs w:val="24"/>
        </w:rPr>
        <w:t xml:space="preserve"> капитального строительства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 </w:t>
      </w:r>
    </w:p>
    <w:p w:rsidR="00B1603E" w:rsidRPr="005B3E27" w:rsidRDefault="00B1603E" w:rsidP="00B1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DF5">
        <w:rPr>
          <w:rFonts w:ascii="Times New Roman" w:hAnsi="Times New Roman"/>
          <w:b/>
          <w:bCs/>
          <w:sz w:val="24"/>
          <w:szCs w:val="24"/>
        </w:rPr>
        <w:t>Правила землепользования и застройки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DF5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</w:t>
      </w:r>
      <w:r w:rsidRPr="00E30DF5">
        <w:rPr>
          <w:rFonts w:ascii="Times New Roman" w:hAnsi="Times New Roman"/>
          <w:b/>
          <w:bCs/>
          <w:sz w:val="24"/>
          <w:szCs w:val="24"/>
        </w:rPr>
        <w:t>Пу</w:t>
      </w:r>
      <w:r>
        <w:rPr>
          <w:rFonts w:ascii="Times New Roman" w:hAnsi="Times New Roman"/>
          <w:b/>
          <w:bCs/>
          <w:sz w:val="24"/>
          <w:szCs w:val="24"/>
        </w:rPr>
        <w:t>гачева</w:t>
      </w:r>
      <w:r w:rsidRPr="00E30DF5">
        <w:rPr>
          <w:rFonts w:ascii="Times New Roman" w:hAnsi="Times New Roman"/>
          <w:b/>
          <w:bCs/>
          <w:sz w:val="24"/>
          <w:szCs w:val="24"/>
        </w:rPr>
        <w:t xml:space="preserve"> Саратовской област</w:t>
      </w:r>
      <w:r>
        <w:rPr>
          <w:rFonts w:ascii="Times New Roman" w:hAnsi="Times New Roman"/>
          <w:b/>
          <w:bCs/>
          <w:sz w:val="24"/>
          <w:szCs w:val="24"/>
        </w:rPr>
        <w:t>и (правила размещены на сайте</w:t>
      </w:r>
      <w:r w:rsidRPr="00B1007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B10075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B10075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B10075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в разделе «Строительство и жизнеобеспечение</w:t>
      </w:r>
      <w:r w:rsidRPr="005B3E27">
        <w:rPr>
          <w:rFonts w:ascii="Times New Roman" w:hAnsi="Times New Roman"/>
          <w:b/>
          <w:bCs/>
          <w:sz w:val="24"/>
          <w:szCs w:val="24"/>
        </w:rPr>
        <w:t>» 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3E2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Градостроительство</w:t>
      </w:r>
      <w:r w:rsidRPr="005B3E2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B1603E" w:rsidRDefault="00B1603E" w:rsidP="00B1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03E" w:rsidRPr="00195212" w:rsidRDefault="00B1603E" w:rsidP="00B160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95212">
        <w:rPr>
          <w:rFonts w:ascii="Times New Roman" w:hAnsi="Times New Roman"/>
          <w:b/>
          <w:bCs/>
          <w:sz w:val="24"/>
          <w:szCs w:val="24"/>
        </w:rPr>
        <w:t>Ж</w:t>
      </w:r>
      <w:proofErr w:type="gramEnd"/>
      <w:r w:rsidRPr="00195212">
        <w:rPr>
          <w:rFonts w:ascii="Times New Roman" w:hAnsi="Times New Roman"/>
          <w:b/>
          <w:bCs/>
          <w:sz w:val="24"/>
          <w:szCs w:val="24"/>
        </w:rPr>
        <w:t xml:space="preserve"> – 1.</w:t>
      </w:r>
      <w:r w:rsidRPr="00195212">
        <w:rPr>
          <w:rFonts w:ascii="Times New Roman" w:hAnsi="Times New Roman"/>
          <w:sz w:val="24"/>
          <w:szCs w:val="24"/>
        </w:rPr>
        <w:t xml:space="preserve"> </w:t>
      </w:r>
      <w:r w:rsidRPr="00195212">
        <w:rPr>
          <w:rFonts w:ascii="Times New Roman" w:hAnsi="Times New Roman"/>
          <w:b/>
          <w:bCs/>
          <w:sz w:val="24"/>
          <w:szCs w:val="24"/>
        </w:rPr>
        <w:t xml:space="preserve">Зона индивидуальной усадебной </w:t>
      </w:r>
      <w:r>
        <w:rPr>
          <w:rFonts w:ascii="Times New Roman" w:hAnsi="Times New Roman"/>
          <w:b/>
          <w:bCs/>
          <w:sz w:val="24"/>
          <w:szCs w:val="24"/>
        </w:rPr>
        <w:t>и блокированной жилой застройки – земельный участок с кадастровым номером – 64:46:020724:148.</w:t>
      </w:r>
    </w:p>
    <w:p w:rsidR="00B1603E" w:rsidRDefault="00B1603E" w:rsidP="00B160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95212">
        <w:rPr>
          <w:rFonts w:ascii="Times New Roman" w:hAnsi="Times New Roman"/>
          <w:iCs/>
          <w:sz w:val="24"/>
          <w:szCs w:val="24"/>
        </w:rPr>
        <w:t>Зона индивидуальной усадебной и блокированной жилой застройки Ж-1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 и блокированной жилой застройки.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B1603E" w:rsidRPr="00E412EA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E412EA">
        <w:rPr>
          <w:rFonts w:ascii="Times New Roman" w:hAnsi="Times New Roman"/>
          <w:b/>
          <w:bCs/>
          <w:iCs/>
          <w:sz w:val="24"/>
          <w:szCs w:val="24"/>
        </w:rPr>
        <w:t>Параметры застройки: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94"/>
        <w:gridCol w:w="6096"/>
      </w:tblGrid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4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64D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064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Минимальная площадь 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размещения индивидуального (одноквартирного), блокированного жилого дома – 300кв.м.</w:t>
            </w:r>
          </w:p>
          <w:p w:rsidR="00B1603E" w:rsidRPr="00E064D6" w:rsidRDefault="00B1603E" w:rsidP="00E24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В условиях сложившейся застройки (существующие объекты недвижимости) размер земельного участка устанавливается с учётом фактически используемой </w:t>
            </w:r>
            <w:r w:rsidRPr="00E064D6">
              <w:rPr>
                <w:rFonts w:ascii="Times New Roman" w:hAnsi="Times New Roman"/>
                <w:sz w:val="24"/>
                <w:szCs w:val="24"/>
              </w:rPr>
              <w:lastRenderedPageBreak/>
              <w:t>площади земельного участка в соответствии с требованиями земельного и градостроительного законодательного законодательства.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размещения объектов иных видов разрешенного использования: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Максимальная площадь 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участков индивидуального, блокированного  жилого дома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2000 кв. м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В случаях примыкания к соседним зданиям (при обязательном наличии брандмауэрных стен) 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64D6">
              <w:rPr>
                <w:rFonts w:ascii="Times New Roman" w:hAnsi="Times New Roman"/>
                <w:sz w:val="24"/>
                <w:szCs w:val="24"/>
              </w:rPr>
              <w:t xml:space="preserve"> жилого дома-0 м.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В иных случаях от жилого дома- 3 м.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- от хозяйственных и прочих строений </w:t>
            </w:r>
            <w:r w:rsidRPr="00E064D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064D6">
              <w:rPr>
                <w:rFonts w:ascii="Times New Roman" w:hAnsi="Times New Roman"/>
                <w:sz w:val="24"/>
                <w:szCs w:val="24"/>
              </w:rPr>
              <w:t xml:space="preserve"> 1 м; 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- открытой стоянки </w:t>
            </w:r>
            <w:r w:rsidRPr="00E064D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064D6">
              <w:rPr>
                <w:rFonts w:ascii="Times New Roman" w:hAnsi="Times New Roman"/>
                <w:sz w:val="24"/>
                <w:szCs w:val="24"/>
              </w:rPr>
              <w:t xml:space="preserve"> 1 м; 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- отдельно стоящего гаража </w:t>
            </w:r>
            <w:r w:rsidRPr="00E064D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064D6">
              <w:rPr>
                <w:rFonts w:ascii="Times New Roman" w:hAnsi="Times New Roman"/>
                <w:sz w:val="24"/>
                <w:szCs w:val="24"/>
              </w:rPr>
              <w:t xml:space="preserve"> 1 м.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размещения объектов иных видов разрешенного использования:</w:t>
            </w:r>
          </w:p>
          <w:p w:rsidR="00B1603E" w:rsidRPr="00E064D6" w:rsidRDefault="00B1603E" w:rsidP="00E244D4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не подлежит установлению.</w:t>
            </w:r>
          </w:p>
          <w:p w:rsidR="00B1603E" w:rsidRPr="00E064D6" w:rsidRDefault="00B1603E" w:rsidP="00E244D4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Отступы жилого дома от лицевой границы участка не подлежат установлению. В существующей застройке при реконструкции и новом строительстве допускается расположение жилого дома по передней меже без отступа.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6096" w:type="dxa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4D6">
              <w:rPr>
                <w:rFonts w:ascii="Times New Roman" w:hAnsi="Times New Roman"/>
                <w:sz w:val="24"/>
                <w:szCs w:val="24"/>
              </w:rPr>
              <w:t>коттэджи</w:t>
            </w:r>
            <w:proofErr w:type="spellEnd"/>
            <w:r w:rsidRPr="00E064D6">
              <w:rPr>
                <w:rFonts w:ascii="Times New Roman" w:hAnsi="Times New Roman"/>
                <w:sz w:val="24"/>
                <w:szCs w:val="24"/>
              </w:rPr>
              <w:t xml:space="preserve"> и индивидуальные дома</w:t>
            </w:r>
          </w:p>
          <w:p w:rsidR="00B1603E" w:rsidRPr="00E064D6" w:rsidRDefault="00B1603E" w:rsidP="00E244D4">
            <w:pPr>
              <w:numPr>
                <w:ilvl w:val="0"/>
                <w:numId w:val="1"/>
              </w:numPr>
              <w:tabs>
                <w:tab w:val="num" w:pos="972"/>
              </w:tabs>
              <w:spacing w:after="0" w:line="240" w:lineRule="auto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до 3х этажей включительно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B1603E" w:rsidRPr="00E064D6" w:rsidRDefault="00B1603E" w:rsidP="00E244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B1603E" w:rsidRPr="00E064D6" w:rsidRDefault="00B1603E" w:rsidP="00E244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B1603E" w:rsidRPr="00E064D6" w:rsidRDefault="00B1603E" w:rsidP="00E244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индивидуального (одноквартирного) жилого дома, объектов торговли, лечебн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64D6">
              <w:rPr>
                <w:rFonts w:ascii="Times New Roman" w:hAnsi="Times New Roman"/>
                <w:sz w:val="24"/>
                <w:szCs w:val="24"/>
              </w:rPr>
              <w:t xml:space="preserve"> оздоровительных до верха плоской кровли-12 м, до верха скатной кровли-13,8 м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гаража и прочих хозяйственных строений на участк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064D6">
              <w:rPr>
                <w:rFonts w:ascii="Times New Roman" w:hAnsi="Times New Roman"/>
                <w:sz w:val="24"/>
                <w:szCs w:val="24"/>
              </w:rPr>
              <w:t xml:space="preserve"> до верха плоской кровли-4 м, до конька скатной кровли-7 м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учебно-воспитательных объектов  - 20 м,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спортивно-рекреационных объектов -30 м.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Максимальная общая площадь объектов капитального строительства нежилого</w:t>
            </w:r>
          </w:p>
          <w:p w:rsidR="00B1603E" w:rsidRPr="00E064D6" w:rsidRDefault="00B1603E" w:rsidP="00E244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 назначения  на территории земельных участков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Не более 500 кв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64D6">
              <w:rPr>
                <w:rFonts w:ascii="Times New Roman" w:hAnsi="Times New Roman"/>
                <w:sz w:val="24"/>
                <w:szCs w:val="24"/>
              </w:rPr>
              <w:t xml:space="preserve">  общей площади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озеленённой</w:t>
            </w:r>
            <w:proofErr w:type="gramEnd"/>
            <w:r w:rsidRPr="00E06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40.7 </w:t>
            </w:r>
            <w:r w:rsidRPr="00B3709B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 xml:space="preserve"> землепользования и застройки  муниципального образования города Пугачева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E064D6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</w:t>
            </w:r>
            <w:proofErr w:type="gramStart"/>
            <w:r w:rsidRPr="00E064D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06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40.8 </w:t>
            </w:r>
            <w:r w:rsidRPr="00B3709B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 xml:space="preserve"> землепользования и застройки  муниципального образования города Пугачева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 40.10 </w:t>
            </w:r>
            <w:r w:rsidRPr="00B3709B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 xml:space="preserve"> землепользования и застройки  муниципального образования города Пугачева</w:t>
            </w:r>
          </w:p>
        </w:tc>
      </w:tr>
      <w:tr w:rsidR="00B1603E" w:rsidRPr="00E064D6" w:rsidTr="00E244D4">
        <w:tc>
          <w:tcPr>
            <w:tcW w:w="675" w:type="dxa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6096" w:type="dxa"/>
            <w:vAlign w:val="center"/>
          </w:tcPr>
          <w:p w:rsidR="00B1603E" w:rsidRPr="00E064D6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D6">
              <w:rPr>
                <w:rFonts w:ascii="Times New Roman" w:hAnsi="Times New Roman"/>
                <w:sz w:val="24"/>
                <w:szCs w:val="24"/>
              </w:rPr>
              <w:t>Для ИЖС    0,4                1,6</w:t>
            </w:r>
          </w:p>
        </w:tc>
      </w:tr>
    </w:tbl>
    <w:p w:rsidR="00B1603E" w:rsidRPr="00E064D6" w:rsidRDefault="00B1603E" w:rsidP="00B160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b/>
          <w:bCs/>
          <w:i/>
          <w:iCs/>
          <w:sz w:val="24"/>
          <w:szCs w:val="24"/>
        </w:rPr>
        <w:t>Примечания:</w:t>
      </w:r>
    </w:p>
    <w:p w:rsidR="00B1603E" w:rsidRPr="00E064D6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1. Требования п. 4 относятся к земельным участкам отдельно стоящих домов.</w:t>
      </w:r>
    </w:p>
    <w:p w:rsidR="00B1603E" w:rsidRPr="00E064D6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2. 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 строению.</w:t>
      </w:r>
    </w:p>
    <w:p w:rsidR="00B1603E" w:rsidRPr="00E064D6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3. Вспомогательные строения, за исключением гаражей, размещать со стороны улицы не допускается.</w:t>
      </w:r>
    </w:p>
    <w:p w:rsidR="00B1603E" w:rsidRPr="00E064D6" w:rsidRDefault="00B1603E" w:rsidP="00B1603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 xml:space="preserve">4. требования к ограждению земельных участков: </w:t>
      </w:r>
    </w:p>
    <w:p w:rsidR="00B1603E" w:rsidRPr="00E064D6" w:rsidRDefault="00B1603E" w:rsidP="00B1603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064D6">
        <w:rPr>
          <w:rFonts w:ascii="Times New Roman" w:hAnsi="Times New Roman"/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B1603E" w:rsidRPr="00E064D6" w:rsidRDefault="00B1603E" w:rsidP="00B1603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 xml:space="preserve">–ограждения между смежными земельными участками должны быть проветриваемыми на высоту не менее 0,3 м от уровня земли; </w:t>
      </w:r>
    </w:p>
    <w:p w:rsidR="00B1603E" w:rsidRPr="00E064D6" w:rsidRDefault="00B1603E" w:rsidP="00B1603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 xml:space="preserve">–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B1603E" w:rsidRPr="00E064D6" w:rsidRDefault="00B1603E" w:rsidP="00B1603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064D6">
        <w:rPr>
          <w:rFonts w:ascii="Times New Roman" w:hAnsi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B1603E" w:rsidRPr="00E064D6" w:rsidRDefault="00B1603E" w:rsidP="00B160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B1603E" w:rsidRPr="00E064D6" w:rsidRDefault="00B1603E" w:rsidP="00B160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Для зон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 Ж-1, находящихся в </w:t>
      </w:r>
      <w:proofErr w:type="spellStart"/>
      <w:r w:rsidRPr="00E064D6">
        <w:rPr>
          <w:rFonts w:ascii="Times New Roman" w:hAnsi="Times New Roman"/>
          <w:b/>
          <w:bCs/>
          <w:sz w:val="24"/>
          <w:szCs w:val="24"/>
        </w:rPr>
        <w:t>водоохранной</w:t>
      </w:r>
      <w:proofErr w:type="spellEnd"/>
      <w:r w:rsidRPr="00E064D6">
        <w:rPr>
          <w:rFonts w:ascii="Times New Roman" w:hAnsi="Times New Roman"/>
          <w:b/>
          <w:bCs/>
          <w:sz w:val="24"/>
          <w:szCs w:val="24"/>
        </w:rPr>
        <w:t xml:space="preserve"> зоне  </w:t>
      </w:r>
      <w:r w:rsidRPr="00E064D6">
        <w:rPr>
          <w:rFonts w:ascii="Times New Roman" w:hAnsi="Times New Roman"/>
          <w:sz w:val="24"/>
          <w:szCs w:val="24"/>
        </w:rPr>
        <w:t xml:space="preserve">установлены </w:t>
      </w:r>
      <w:r w:rsidRPr="00E064D6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E064D6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E064D6">
        <w:rPr>
          <w:rFonts w:ascii="Times New Roman" w:hAnsi="Times New Roman"/>
          <w:b/>
          <w:bCs/>
          <w:sz w:val="24"/>
          <w:szCs w:val="24"/>
        </w:rPr>
        <w:t xml:space="preserve"> зон (статья 43 </w:t>
      </w:r>
      <w:r w:rsidRPr="00E064D6">
        <w:rPr>
          <w:rFonts w:ascii="Times New Roman" w:hAnsi="Times New Roman"/>
          <w:b/>
        </w:rPr>
        <w:t>Правил землепользования и застройки  муниципального образования города Пугачева</w:t>
      </w:r>
      <w:r w:rsidRPr="00E064D6">
        <w:rPr>
          <w:rFonts w:ascii="Times New Roman" w:hAnsi="Times New Roman"/>
          <w:b/>
          <w:bCs/>
          <w:sz w:val="24"/>
          <w:szCs w:val="24"/>
        </w:rPr>
        <w:t>).</w:t>
      </w:r>
    </w:p>
    <w:p w:rsidR="00B1603E" w:rsidRPr="00E064D6" w:rsidRDefault="00B1603E" w:rsidP="00B160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Для зоны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 Ж-1, находящейся в прибрежной защитной полосе </w:t>
      </w:r>
      <w:r w:rsidRPr="00E064D6">
        <w:rPr>
          <w:rFonts w:ascii="Times New Roman" w:hAnsi="Times New Roman"/>
          <w:sz w:val="24"/>
          <w:szCs w:val="24"/>
        </w:rPr>
        <w:t xml:space="preserve">установлены </w:t>
      </w:r>
      <w:r w:rsidRPr="00E064D6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для прибрежных защитных полос 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064D6">
        <w:rPr>
          <w:rFonts w:ascii="Times New Roman" w:hAnsi="Times New Roman"/>
          <w:b/>
        </w:rPr>
        <w:t>Правил землепользования и застройки  муниципального образования города Пугачева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Pr="00E064D6">
        <w:rPr>
          <w:rFonts w:ascii="Times New Roman" w:hAnsi="Times New Roman"/>
          <w:b/>
          <w:bCs/>
          <w:sz w:val="24"/>
          <w:szCs w:val="24"/>
        </w:rPr>
        <w:t>.</w:t>
      </w:r>
    </w:p>
    <w:p w:rsidR="00B1603E" w:rsidRPr="00E064D6" w:rsidRDefault="00B1603E" w:rsidP="00B160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Для зоны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 Ж-1, находящейся в береговой полосе </w:t>
      </w:r>
      <w:r w:rsidRPr="00E064D6">
        <w:rPr>
          <w:rFonts w:ascii="Times New Roman" w:hAnsi="Times New Roman"/>
          <w:sz w:val="24"/>
          <w:szCs w:val="24"/>
        </w:rPr>
        <w:t xml:space="preserve">установлены </w:t>
      </w:r>
      <w:r w:rsidRPr="00E064D6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для береговых полос 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>(статья 43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064D6">
        <w:rPr>
          <w:rFonts w:ascii="Times New Roman" w:hAnsi="Times New Roman"/>
          <w:b/>
        </w:rPr>
        <w:t>Правил землепользования и застройки  муниципального образования города Пугачева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Pr="00E064D6">
        <w:rPr>
          <w:rFonts w:ascii="Times New Roman" w:hAnsi="Times New Roman"/>
          <w:b/>
          <w:bCs/>
          <w:sz w:val="24"/>
          <w:szCs w:val="24"/>
        </w:rPr>
        <w:t>.</w:t>
      </w:r>
    </w:p>
    <w:p w:rsidR="00B1603E" w:rsidRPr="00E064D6" w:rsidRDefault="00B1603E" w:rsidP="00B160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Для зон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 Ж-1, находящихся в санитарно-защитной зоне промышленных предприятий  </w:t>
      </w:r>
      <w:r w:rsidRPr="00E064D6">
        <w:rPr>
          <w:rFonts w:ascii="Times New Roman" w:hAnsi="Times New Roman"/>
          <w:sz w:val="24"/>
          <w:szCs w:val="24"/>
        </w:rPr>
        <w:t xml:space="preserve">установлены </w:t>
      </w:r>
      <w:r w:rsidRPr="00E064D6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E064D6">
        <w:rPr>
          <w:rFonts w:ascii="Times New Roman" w:hAnsi="Times New Roman"/>
          <w:b/>
          <w:bCs/>
          <w:sz w:val="24"/>
          <w:szCs w:val="24"/>
        </w:rPr>
        <w:t>санитарно-защитных зон (статья 44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64D6">
        <w:rPr>
          <w:rFonts w:ascii="Times New Roman" w:hAnsi="Times New Roman"/>
          <w:b/>
        </w:rPr>
        <w:t>Правил землепользования и застройки  муниципального образования города Пугачева</w:t>
      </w:r>
      <w:r w:rsidRPr="00E064D6">
        <w:rPr>
          <w:rFonts w:ascii="Times New Roman" w:hAnsi="Times New Roman"/>
          <w:b/>
          <w:bCs/>
          <w:sz w:val="24"/>
          <w:szCs w:val="24"/>
        </w:rPr>
        <w:t>).</w:t>
      </w:r>
    </w:p>
    <w:p w:rsidR="00B1603E" w:rsidRPr="00E064D6" w:rsidRDefault="00B1603E" w:rsidP="00B160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Для зон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 Ж-1, находящихся в охранной зоне линий электропередач  </w:t>
      </w:r>
      <w:r w:rsidRPr="00E064D6">
        <w:rPr>
          <w:rFonts w:ascii="Times New Roman" w:hAnsi="Times New Roman"/>
          <w:sz w:val="24"/>
          <w:szCs w:val="24"/>
        </w:rPr>
        <w:t xml:space="preserve">установлены </w:t>
      </w:r>
      <w:r w:rsidRPr="00E064D6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E064D6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(статья 45.2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64D6">
        <w:rPr>
          <w:rFonts w:ascii="Times New Roman" w:hAnsi="Times New Roman"/>
          <w:b/>
        </w:rPr>
        <w:t>Правил землепользования и застройки  муниципального образования города Пугачева</w:t>
      </w:r>
      <w:r w:rsidRPr="00E064D6">
        <w:rPr>
          <w:rFonts w:ascii="Times New Roman" w:hAnsi="Times New Roman"/>
          <w:b/>
          <w:bCs/>
          <w:sz w:val="24"/>
          <w:szCs w:val="24"/>
        </w:rPr>
        <w:t>).</w:t>
      </w:r>
    </w:p>
    <w:p w:rsidR="00B1603E" w:rsidRPr="00E064D6" w:rsidRDefault="00B1603E" w:rsidP="00B160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64D6">
        <w:rPr>
          <w:rFonts w:ascii="Times New Roman" w:hAnsi="Times New Roman"/>
          <w:sz w:val="24"/>
          <w:szCs w:val="24"/>
        </w:rPr>
        <w:t>Для зоны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 Ж-1, находящейся на территории</w:t>
      </w:r>
      <w:r w:rsidRPr="00E064D6">
        <w:rPr>
          <w:rFonts w:ascii="Times New Roman" w:hAnsi="Times New Roman"/>
          <w:sz w:val="24"/>
          <w:szCs w:val="24"/>
        </w:rPr>
        <w:t xml:space="preserve"> </w:t>
      </w:r>
      <w:r w:rsidRPr="00E064D6">
        <w:rPr>
          <w:rFonts w:ascii="Times New Roman" w:hAnsi="Times New Roman"/>
          <w:b/>
          <w:bCs/>
          <w:sz w:val="24"/>
          <w:szCs w:val="24"/>
        </w:rPr>
        <w:t>1% вероятности подтопления</w:t>
      </w:r>
      <w:r w:rsidRPr="00E064D6">
        <w:rPr>
          <w:rFonts w:ascii="Times New Roman" w:hAnsi="Times New Roman"/>
          <w:sz w:val="24"/>
          <w:szCs w:val="24"/>
        </w:rPr>
        <w:t xml:space="preserve"> установлены </w:t>
      </w:r>
      <w:r w:rsidRPr="00E064D6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E064D6">
        <w:rPr>
          <w:rFonts w:ascii="Times New Roman" w:hAnsi="Times New Roman"/>
          <w:b/>
          <w:bCs/>
          <w:sz w:val="24"/>
          <w:szCs w:val="24"/>
        </w:rPr>
        <w:t xml:space="preserve">для зон подтопления поверхностными водами 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>(статья 46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064D6">
        <w:rPr>
          <w:rFonts w:ascii="Times New Roman" w:hAnsi="Times New Roman"/>
          <w:b/>
        </w:rPr>
        <w:t>Правил землепользования и застройки  муниципального образования города Пугачева</w:t>
      </w:r>
      <w:r w:rsidRPr="00E064D6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 w:rsidRPr="00E064D6">
        <w:rPr>
          <w:rFonts w:ascii="Times New Roman" w:hAnsi="Times New Roman"/>
          <w:b/>
          <w:bCs/>
          <w:sz w:val="24"/>
          <w:szCs w:val="24"/>
        </w:rPr>
        <w:t>.</w:t>
      </w:r>
    </w:p>
    <w:p w:rsidR="00B1603E" w:rsidRPr="00E064D6" w:rsidRDefault="00B1603E" w:rsidP="00B1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64D6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E064D6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E064D6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4C145A" w:rsidRPr="00B1603E" w:rsidRDefault="004C145A">
      <w:pPr>
        <w:rPr>
          <w:rFonts w:ascii="Times New Roman" w:hAnsi="Times New Roman"/>
        </w:rPr>
      </w:pPr>
    </w:p>
    <w:sectPr w:rsidR="004C145A" w:rsidRPr="00B1603E" w:rsidSect="004928E4">
      <w:pgSz w:w="11906" w:h="16838"/>
      <w:pgMar w:top="568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66018"/>
    <w:rsid w:val="002D454C"/>
    <w:rsid w:val="00411C09"/>
    <w:rsid w:val="004920BD"/>
    <w:rsid w:val="004C145A"/>
    <w:rsid w:val="007A76A9"/>
    <w:rsid w:val="00B1603E"/>
    <w:rsid w:val="00CC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2020-09-21T06:15:00Z</cp:lastPrinted>
  <dcterms:created xsi:type="dcterms:W3CDTF">2020-09-20T09:17:00Z</dcterms:created>
  <dcterms:modified xsi:type="dcterms:W3CDTF">2020-09-21T06:43:00Z</dcterms:modified>
</cp:coreProperties>
</file>