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9F127E" w:rsidRPr="00552E1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992"/>
        <w:gridCol w:w="1276"/>
        <w:gridCol w:w="1135"/>
        <w:gridCol w:w="991"/>
      </w:tblGrid>
      <w:tr w:rsidR="009F127E" w:rsidRPr="00AF18D9" w:rsidTr="00DE5FBF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E527F8" w:rsidRPr="00AF18D9" w:rsidTr="00DE5FBF">
        <w:trPr>
          <w:trHeight w:val="2572"/>
        </w:trPr>
        <w:tc>
          <w:tcPr>
            <w:tcW w:w="675" w:type="dxa"/>
          </w:tcPr>
          <w:p w:rsidR="00E527F8" w:rsidRDefault="00E527F8" w:rsidP="00E52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6A5890" w:rsidRPr="00C64B38" w:rsidRDefault="00E527F8" w:rsidP="00E52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64:46:010212:587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Pr="00E527F8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 w:rsidRPr="00E527F8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  г. Пугачев,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/>
                <w:color w:val="000000"/>
              </w:rPr>
              <w:t>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0528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528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27F8" w:rsidRPr="0000528B" w:rsidRDefault="00E527F8" w:rsidP="00E52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</w:t>
            </w:r>
            <w:r>
              <w:rPr>
                <w:rFonts w:ascii="Times New Roman" w:hAnsi="Times New Roman"/>
                <w:color w:val="000000"/>
              </w:rPr>
              <w:t>: зона</w:t>
            </w:r>
            <w:r w:rsidR="006A5890">
              <w:rPr>
                <w:rFonts w:ascii="Times New Roman" w:hAnsi="Times New Roman"/>
                <w:color w:val="000000"/>
              </w:rPr>
              <w:t xml:space="preserve"> с особыми условиями использова</w:t>
            </w:r>
            <w:r w:rsidR="00B62CE4">
              <w:rPr>
                <w:rFonts w:ascii="Times New Roman" w:hAnsi="Times New Roman"/>
                <w:color w:val="000000"/>
              </w:rPr>
              <w:t>ния территорий – охран</w:t>
            </w:r>
            <w:r>
              <w:rPr>
                <w:rFonts w:ascii="Times New Roman" w:hAnsi="Times New Roman"/>
                <w:color w:val="000000"/>
              </w:rPr>
              <w:t>ная зона водопровода: ЗУ1/чзу1, площадью 272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, ЗУ1/чзу2 площадью 81кв.м.</w:t>
            </w:r>
          </w:p>
        </w:tc>
        <w:tc>
          <w:tcPr>
            <w:tcW w:w="1701" w:type="dxa"/>
          </w:tcPr>
          <w:p w:rsidR="00E527F8" w:rsidRPr="0000528B" w:rsidRDefault="00E527F8" w:rsidP="00E52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придорожного сервиса</w:t>
            </w:r>
          </w:p>
        </w:tc>
        <w:tc>
          <w:tcPr>
            <w:tcW w:w="1418" w:type="dxa"/>
          </w:tcPr>
          <w:p w:rsidR="00E527F8" w:rsidRPr="0000528B" w:rsidRDefault="00E527F8" w:rsidP="00E52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</w:rPr>
              <w:t xml:space="preserve">населенных пунктов </w:t>
            </w:r>
          </w:p>
        </w:tc>
        <w:tc>
          <w:tcPr>
            <w:tcW w:w="992" w:type="dxa"/>
          </w:tcPr>
          <w:p w:rsidR="00E527F8" w:rsidRPr="0000528B" w:rsidRDefault="00E527F8" w:rsidP="00E52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276" w:type="dxa"/>
          </w:tcPr>
          <w:p w:rsidR="00E527F8" w:rsidRPr="00191F4F" w:rsidRDefault="00E527F8" w:rsidP="00E52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32037,59</w:t>
            </w:r>
          </w:p>
        </w:tc>
        <w:tc>
          <w:tcPr>
            <w:tcW w:w="1135" w:type="dxa"/>
          </w:tcPr>
          <w:p w:rsidR="00E527F8" w:rsidRPr="00191F4F" w:rsidRDefault="00E527F8" w:rsidP="00E52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32037,59</w:t>
            </w:r>
          </w:p>
        </w:tc>
        <w:tc>
          <w:tcPr>
            <w:tcW w:w="991" w:type="dxa"/>
          </w:tcPr>
          <w:p w:rsidR="00E527F8" w:rsidRPr="0000528B" w:rsidRDefault="00E527F8" w:rsidP="00E52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961,00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6A5890">
        <w:rPr>
          <w:b/>
          <w:color w:val="000000"/>
          <w:szCs w:val="24"/>
        </w:rPr>
        <w:t>2</w:t>
      </w:r>
      <w:r w:rsidR="006A5890" w:rsidRPr="006A5890">
        <w:rPr>
          <w:b/>
          <w:color w:val="000000"/>
          <w:szCs w:val="24"/>
        </w:rPr>
        <w:t>7</w:t>
      </w:r>
      <w:r w:rsidR="00EC209F">
        <w:rPr>
          <w:b/>
          <w:color w:val="000000"/>
          <w:szCs w:val="24"/>
        </w:rPr>
        <w:t xml:space="preserve"> </w:t>
      </w:r>
      <w:r w:rsidR="00C64B38">
        <w:rPr>
          <w:b/>
          <w:color w:val="000000"/>
          <w:szCs w:val="24"/>
        </w:rPr>
        <w:t>мая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DE5FBF">
        <w:rPr>
          <w:color w:val="000000"/>
          <w:szCs w:val="24"/>
        </w:rPr>
        <w:t xml:space="preserve">от </w:t>
      </w:r>
      <w:r w:rsidR="00C64B38">
        <w:rPr>
          <w:color w:val="000000"/>
          <w:szCs w:val="24"/>
        </w:rPr>
        <w:t>16</w:t>
      </w:r>
      <w:r w:rsidR="00BE0EC7" w:rsidRPr="00DE5FBF">
        <w:rPr>
          <w:color w:val="000000"/>
          <w:szCs w:val="24"/>
        </w:rPr>
        <w:t xml:space="preserve"> </w:t>
      </w:r>
      <w:r w:rsidR="00C64B38">
        <w:rPr>
          <w:color w:val="000000"/>
          <w:szCs w:val="24"/>
        </w:rPr>
        <w:t>апре</w:t>
      </w:r>
      <w:r w:rsidR="004D14F5" w:rsidRPr="00DE5FBF">
        <w:rPr>
          <w:color w:val="000000"/>
          <w:szCs w:val="24"/>
        </w:rPr>
        <w:t>ля</w:t>
      </w:r>
      <w:r w:rsidRPr="00DE5FBF">
        <w:rPr>
          <w:color w:val="000000"/>
          <w:szCs w:val="24"/>
        </w:rPr>
        <w:t xml:space="preserve"> № </w:t>
      </w:r>
      <w:r w:rsidR="00DA4BE7">
        <w:rPr>
          <w:color w:val="000000"/>
          <w:szCs w:val="24"/>
        </w:rPr>
        <w:t>84</w:t>
      </w:r>
      <w:r w:rsidRPr="00DE5FBF">
        <w:rPr>
          <w:color w:val="000000"/>
          <w:szCs w:val="24"/>
        </w:rPr>
        <w:t>-р «О проведении открытого аукциона на право заключения договоров аренды земельных участков».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C03AE7">
        <w:rPr>
          <w:color w:val="000000"/>
          <w:szCs w:val="24"/>
        </w:rPr>
        <w:t>22</w:t>
      </w:r>
      <w:r w:rsidR="00EC209F">
        <w:rPr>
          <w:color w:val="000000"/>
          <w:szCs w:val="24"/>
        </w:rPr>
        <w:t xml:space="preserve"> </w:t>
      </w:r>
      <w:r w:rsidR="00C03AE7">
        <w:rPr>
          <w:color w:val="000000"/>
          <w:szCs w:val="24"/>
        </w:rPr>
        <w:t>апре</w:t>
      </w:r>
      <w:r w:rsidR="00EC209F">
        <w:rPr>
          <w:color w:val="000000"/>
          <w:szCs w:val="24"/>
        </w:rPr>
        <w:t>ля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C03AE7">
        <w:rPr>
          <w:szCs w:val="24"/>
        </w:rPr>
        <w:t>21 мая</w:t>
      </w:r>
      <w:r w:rsidR="00C03AE7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575BA3">
        <w:rPr>
          <w:rFonts w:ascii="Times New Roman" w:hAnsi="Times New Roman"/>
          <w:sz w:val="24"/>
          <w:szCs w:val="24"/>
        </w:rPr>
        <w:lastRenderedPageBreak/>
        <w:t>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9F127E" w:rsidRPr="00361846" w:rsidRDefault="009F127E" w:rsidP="000D6405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 w:rsidR="000D6405">
        <w:rPr>
          <w:color w:val="000000"/>
          <w:szCs w:val="24"/>
        </w:rPr>
        <w:t>, б</w:t>
      </w:r>
      <w:r w:rsidR="00122A77">
        <w:rPr>
          <w:color w:val="000000"/>
          <w:szCs w:val="24"/>
        </w:rPr>
        <w:t>анк получателя – ОТДЕЛЕНИЕ САРАТОВ БАНКА РОССИИ/УФК по Саратовской области г</w:t>
      </w:r>
      <w:proofErr w:type="gramStart"/>
      <w:r w:rsidR="00122A77">
        <w:rPr>
          <w:color w:val="000000"/>
          <w:szCs w:val="24"/>
        </w:rPr>
        <w:t>.С</w:t>
      </w:r>
      <w:proofErr w:type="gramEnd"/>
      <w:r w:rsidR="00122A77">
        <w:rPr>
          <w:color w:val="000000"/>
          <w:szCs w:val="24"/>
        </w:rPr>
        <w:t>аратов</w:t>
      </w:r>
      <w:r w:rsidR="00BA5A56">
        <w:rPr>
          <w:color w:val="000000"/>
          <w:szCs w:val="24"/>
        </w:rPr>
        <w:t xml:space="preserve">, </w:t>
      </w:r>
      <w:proofErr w:type="spellStart"/>
      <w:r w:rsidR="00BA5A56">
        <w:rPr>
          <w:color w:val="000000"/>
          <w:szCs w:val="24"/>
        </w:rPr>
        <w:t>корр</w:t>
      </w:r>
      <w:proofErr w:type="spellEnd"/>
      <w:r w:rsidR="00BA5A56">
        <w:rPr>
          <w:color w:val="000000"/>
          <w:szCs w:val="24"/>
        </w:rPr>
        <w:t>/</w:t>
      </w:r>
      <w:proofErr w:type="spellStart"/>
      <w:r w:rsidR="00BA5A56">
        <w:rPr>
          <w:color w:val="000000"/>
          <w:szCs w:val="24"/>
        </w:rPr>
        <w:t>сч</w:t>
      </w:r>
      <w:proofErr w:type="spellEnd"/>
      <w:r w:rsidR="00BA5A56">
        <w:rPr>
          <w:color w:val="000000"/>
          <w:szCs w:val="24"/>
        </w:rPr>
        <w:t xml:space="preserve"> – 40102810845370000052,  БИК – 016311121,  </w:t>
      </w:r>
      <w:r w:rsidR="000D6405">
        <w:rPr>
          <w:color w:val="000000"/>
          <w:szCs w:val="24"/>
        </w:rPr>
        <w:t xml:space="preserve">                       </w:t>
      </w:r>
      <w:proofErr w:type="spellStart"/>
      <w:r w:rsidR="00BA5A56">
        <w:rPr>
          <w:color w:val="000000"/>
          <w:szCs w:val="24"/>
        </w:rPr>
        <w:t>р</w:t>
      </w:r>
      <w:proofErr w:type="spellEnd"/>
      <w:r w:rsidR="00BA5A56">
        <w:rPr>
          <w:color w:val="000000"/>
          <w:szCs w:val="24"/>
        </w:rPr>
        <w:t>/</w:t>
      </w:r>
      <w:proofErr w:type="spellStart"/>
      <w:r w:rsidR="00BA5A56">
        <w:rPr>
          <w:color w:val="000000"/>
          <w:szCs w:val="24"/>
        </w:rPr>
        <w:t>сч</w:t>
      </w:r>
      <w:proofErr w:type="spellEnd"/>
      <w:r w:rsidR="00BA5A56">
        <w:rPr>
          <w:color w:val="000000"/>
          <w:szCs w:val="24"/>
        </w:rPr>
        <w:t xml:space="preserve"> </w:t>
      </w:r>
      <w:r w:rsidR="008A3973">
        <w:rPr>
          <w:color w:val="000000"/>
          <w:szCs w:val="24"/>
        </w:rPr>
        <w:t xml:space="preserve">03232643636370006000, </w:t>
      </w:r>
      <w:r w:rsidR="00BA5A56">
        <w:rPr>
          <w:color w:val="000000"/>
          <w:szCs w:val="24"/>
        </w:rPr>
        <w:t xml:space="preserve"> </w:t>
      </w:r>
      <w:r w:rsidRPr="00FC4B95">
        <w:rPr>
          <w:color w:val="000000"/>
          <w:szCs w:val="24"/>
        </w:rPr>
        <w:t>л/с 0560303</w:t>
      </w:r>
      <w:r w:rsidR="008A3973"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 w:rsidR="008A3973"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877AC3" w:rsidRPr="00877AC3" w:rsidRDefault="00E350AB" w:rsidP="00877AC3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877AC3">
        <w:rPr>
          <w:color w:val="000000"/>
          <w:sz w:val="22"/>
          <w:szCs w:val="22"/>
        </w:rPr>
        <w:t>рок аренды 2 год</w:t>
      </w:r>
      <w:r>
        <w:rPr>
          <w:color w:val="000000"/>
          <w:sz w:val="22"/>
          <w:szCs w:val="22"/>
        </w:rPr>
        <w:t>а 6</w:t>
      </w:r>
      <w:r w:rsidR="00877AC3">
        <w:rPr>
          <w:color w:val="000000"/>
          <w:sz w:val="22"/>
          <w:szCs w:val="22"/>
        </w:rPr>
        <w:t xml:space="preserve"> месяц</w:t>
      </w:r>
      <w:r>
        <w:rPr>
          <w:color w:val="000000"/>
          <w:sz w:val="22"/>
          <w:szCs w:val="22"/>
        </w:rPr>
        <w:t>ев</w:t>
      </w:r>
      <w:r w:rsidR="00877AC3">
        <w:rPr>
          <w:color w:val="000000"/>
          <w:sz w:val="22"/>
          <w:szCs w:val="22"/>
        </w:rPr>
        <w:t>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3059A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3059A3">
        <w:rPr>
          <w:rFonts w:ascii="Times New Roman" w:hAnsi="Times New Roman"/>
          <w:sz w:val="24"/>
          <w:szCs w:val="24"/>
        </w:rPr>
        <w:t>мая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lastRenderedPageBreak/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4E6399" w:rsidRDefault="009F127E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>1.</w:t>
      </w:r>
      <w:r w:rsidR="004E6399" w:rsidRPr="008C01CE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="004E6399" w:rsidRPr="008C01CE">
        <w:rPr>
          <w:rStyle w:val="a6"/>
          <w:i w:val="0"/>
          <w:color w:val="000000"/>
        </w:rPr>
        <w:t>Облкоммунэнерго</w:t>
      </w:r>
      <w:proofErr w:type="spellEnd"/>
      <w:r w:rsidR="004E6399" w:rsidRPr="008C01CE">
        <w:rPr>
          <w:rStyle w:val="a6"/>
          <w:i w:val="0"/>
          <w:color w:val="000000"/>
        </w:rPr>
        <w:t xml:space="preserve">» </w:t>
      </w:r>
      <w:r w:rsidR="004E6399" w:rsidRPr="008C01CE">
        <w:rPr>
          <w:color w:val="000000"/>
        </w:rPr>
        <w:t>филиал Пугачевские городские электрические сети</w:t>
      </w:r>
      <w:r w:rsidR="004E6399" w:rsidRPr="008C01CE">
        <w:rPr>
          <w:rStyle w:val="a6"/>
          <w:i w:val="0"/>
          <w:color w:val="000000"/>
        </w:rPr>
        <w:t xml:space="preserve"> в отношении земельного участка</w:t>
      </w:r>
      <w:r w:rsidR="004E6399" w:rsidRPr="008C01CE">
        <w:rPr>
          <w:color w:val="000000"/>
        </w:rPr>
        <w:t xml:space="preserve">, расположенный по </w:t>
      </w:r>
      <w:r w:rsidR="004E6399" w:rsidRPr="00BF28F5">
        <w:rPr>
          <w:color w:val="000000"/>
        </w:rPr>
        <w:t>адресу</w:t>
      </w:r>
      <w:r w:rsidR="004E6399" w:rsidRPr="00641D66">
        <w:rPr>
          <w:rStyle w:val="a6"/>
          <w:i w:val="0"/>
          <w:color w:val="000000"/>
        </w:rPr>
        <w:t xml:space="preserve">: </w:t>
      </w:r>
      <w:r w:rsidR="00563D76" w:rsidRPr="0000528B">
        <w:rPr>
          <w:color w:val="000000"/>
        </w:rPr>
        <w:t>Саратовская область,</w:t>
      </w:r>
      <w:r w:rsidR="009250C0">
        <w:rPr>
          <w:color w:val="000000"/>
        </w:rPr>
        <w:t xml:space="preserve">  г</w:t>
      </w:r>
      <w:proofErr w:type="gramStart"/>
      <w:r w:rsidR="009250C0">
        <w:rPr>
          <w:color w:val="000000"/>
        </w:rPr>
        <w:t>.</w:t>
      </w:r>
      <w:r w:rsidR="00563D76">
        <w:rPr>
          <w:color w:val="000000"/>
        </w:rPr>
        <w:t>П</w:t>
      </w:r>
      <w:proofErr w:type="gramEnd"/>
      <w:r w:rsidR="00563D76">
        <w:rPr>
          <w:color w:val="000000"/>
        </w:rPr>
        <w:t xml:space="preserve">угачев, </w:t>
      </w:r>
      <w:proofErr w:type="spellStart"/>
      <w:r w:rsidR="00563D76">
        <w:rPr>
          <w:color w:val="000000"/>
        </w:rPr>
        <w:t>ул.Ермощенко</w:t>
      </w:r>
      <w:proofErr w:type="spellEnd"/>
      <w:r w:rsidR="004E6399" w:rsidRPr="00641D66">
        <w:rPr>
          <w:rStyle w:val="a6"/>
          <w:i w:val="0"/>
          <w:color w:val="000000"/>
        </w:rPr>
        <w:t>, кадастровый номер</w:t>
      </w:r>
      <w:r w:rsidR="00336224">
        <w:rPr>
          <w:color w:val="000000"/>
        </w:rPr>
        <w:t xml:space="preserve"> 64:46:010212:587</w:t>
      </w:r>
      <w:r w:rsidR="004E6399">
        <w:rPr>
          <w:color w:val="000000"/>
        </w:rPr>
        <w:t xml:space="preserve">.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Максимальная мощность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 составляет         </w:t>
      </w:r>
      <w:r w:rsidR="00336224">
        <w:rPr>
          <w:color w:val="000000"/>
        </w:rPr>
        <w:t>15</w:t>
      </w:r>
      <w:r>
        <w:rPr>
          <w:color w:val="000000"/>
        </w:rPr>
        <w:t>,0 кВт.</w:t>
      </w:r>
    </w:p>
    <w:p w:rsidR="004E6399" w:rsidRPr="0070440E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4E6399" w:rsidRPr="0070440E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 w:rsidR="00336224">
        <w:rPr>
          <w:color w:val="000000"/>
        </w:rPr>
        <w:t>4</w:t>
      </w:r>
      <w:r>
        <w:rPr>
          <w:color w:val="000000"/>
        </w:rPr>
        <w:t>к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трех</w:t>
      </w:r>
      <w:r w:rsidRPr="0070440E">
        <w:rPr>
          <w:color w:val="000000"/>
        </w:rPr>
        <w:t xml:space="preserve">фазный ввод). </w:t>
      </w:r>
    </w:p>
    <w:p w:rsidR="004E6399" w:rsidRPr="0070440E" w:rsidRDefault="00CB6F35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присоединения: </w:t>
      </w:r>
      <w:r w:rsidR="004E6399">
        <w:rPr>
          <w:color w:val="000000"/>
        </w:rPr>
        <w:t xml:space="preserve"> опора </w:t>
      </w:r>
      <w:r w:rsidR="00283028">
        <w:rPr>
          <w:color w:val="000000"/>
        </w:rPr>
        <w:t>№ 1—73/47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- 0,</w:t>
      </w:r>
      <w:r w:rsidR="00283028">
        <w:rPr>
          <w:color w:val="000000"/>
        </w:rPr>
        <w:t>4</w:t>
      </w:r>
      <w:r>
        <w:rPr>
          <w:color w:val="000000"/>
        </w:rPr>
        <w:t xml:space="preserve">кВ </w:t>
      </w:r>
      <w:r w:rsidR="00283028">
        <w:rPr>
          <w:color w:val="000000"/>
        </w:rPr>
        <w:t>КПТ-73.</w:t>
      </w:r>
      <w:r w:rsidR="004E6399" w:rsidRPr="0070440E">
        <w:rPr>
          <w:color w:val="000000"/>
        </w:rPr>
        <w:t xml:space="preserve"> </w:t>
      </w:r>
    </w:p>
    <w:p w:rsidR="004E6399" w:rsidRPr="0070440E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 w:rsidR="00283028">
        <w:rPr>
          <w:color w:val="000000"/>
        </w:rPr>
        <w:t>КПТ-73</w:t>
      </w:r>
      <w:r>
        <w:rPr>
          <w:color w:val="000000"/>
        </w:rPr>
        <w:t>, ВЛ-6кВ Фидер-</w:t>
      </w:r>
      <w:r w:rsidR="009250C0">
        <w:rPr>
          <w:color w:val="000000"/>
        </w:rPr>
        <w:t>616</w:t>
      </w:r>
      <w:r>
        <w:rPr>
          <w:color w:val="000000"/>
        </w:rPr>
        <w:t xml:space="preserve">, </w:t>
      </w:r>
      <w:r w:rsidRPr="0070440E">
        <w:rPr>
          <w:color w:val="000000"/>
        </w:rPr>
        <w:t xml:space="preserve"> ПС «</w:t>
      </w:r>
      <w:r>
        <w:rPr>
          <w:color w:val="000000"/>
        </w:rPr>
        <w:t>Пугачёвская»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4E6399" w:rsidRPr="0070440E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4E6399" w:rsidRPr="0070440E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 w:rsidR="009250C0">
        <w:rPr>
          <w:color w:val="000000"/>
        </w:rPr>
        <w:t>200</w:t>
      </w:r>
      <w:r w:rsidRPr="0070440E">
        <w:rPr>
          <w:color w:val="000000"/>
        </w:rPr>
        <w:t>м.</w:t>
      </w:r>
    </w:p>
    <w:p w:rsidR="004E6399" w:rsidRPr="0070440E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</w:t>
      </w:r>
      <w:proofErr w:type="gramEnd"/>
      <w:r w:rsidRPr="0070440E">
        <w:rPr>
          <w:color w:val="000000"/>
        </w:rPr>
        <w:t xml:space="preserve"> </w:t>
      </w:r>
      <w:proofErr w:type="gramStart"/>
      <w:r w:rsidRPr="0070440E">
        <w:rPr>
          <w:color w:val="000000"/>
        </w:rPr>
        <w:t xml:space="preserve">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Постановление Комитета государственного регулирования  тарифов Саратовской области № 57/1 от 22.12.2018)</w:t>
      </w:r>
      <w:r w:rsidRPr="0070440E">
        <w:rPr>
          <w:color w:val="000000"/>
        </w:rPr>
        <w:t xml:space="preserve">. </w:t>
      </w:r>
      <w:proofErr w:type="gramEnd"/>
    </w:p>
    <w:p w:rsidR="004E6399" w:rsidRPr="003A058E" w:rsidRDefault="004E6399" w:rsidP="00D834C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 w:rsidR="00D834CB">
        <w:rPr>
          <w:color w:val="000000"/>
        </w:rPr>
        <w:t xml:space="preserve">ектов, расположенных по адресу: </w:t>
      </w:r>
      <w:r w:rsidR="009250C0" w:rsidRPr="0000528B">
        <w:rPr>
          <w:color w:val="000000"/>
        </w:rPr>
        <w:t>Саратовская область,</w:t>
      </w:r>
      <w:r w:rsidR="009250C0">
        <w:rPr>
          <w:color w:val="000000"/>
        </w:rPr>
        <w:t xml:space="preserve"> г</w:t>
      </w:r>
      <w:proofErr w:type="gramStart"/>
      <w:r w:rsidR="009250C0">
        <w:rPr>
          <w:color w:val="000000"/>
        </w:rPr>
        <w:t>.П</w:t>
      </w:r>
      <w:proofErr w:type="gramEnd"/>
      <w:r w:rsidR="009250C0">
        <w:rPr>
          <w:color w:val="000000"/>
        </w:rPr>
        <w:t xml:space="preserve">угачев, </w:t>
      </w:r>
      <w:proofErr w:type="spellStart"/>
      <w:r w:rsidR="009250C0">
        <w:rPr>
          <w:color w:val="000000"/>
        </w:rPr>
        <w:t>ул.Ермощенко</w:t>
      </w:r>
      <w:proofErr w:type="spellEnd"/>
      <w:r w:rsidRPr="003A058E">
        <w:rPr>
          <w:color w:val="000000"/>
        </w:rPr>
        <w:t>,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4E6399" w:rsidRPr="00207ED7" w:rsidRDefault="004E6399" w:rsidP="004E639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iCs w:val="0"/>
          <w:color w:val="000000"/>
        </w:rPr>
      </w:pPr>
      <w:proofErr w:type="gramStart"/>
      <w:r w:rsidRPr="0070440E">
        <w:rPr>
          <w:color w:val="000000"/>
        </w:rPr>
        <w:t>Заявку на технологическое присоединение необходимо подать в филиале ОАО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</w:t>
      </w:r>
      <w:proofErr w:type="gramEnd"/>
      <w:r w:rsidRPr="0070440E">
        <w:rPr>
          <w:color w:val="000000"/>
        </w:rPr>
        <w:t xml:space="preserve"> (с изменениями</w:t>
      </w:r>
      <w:r>
        <w:rPr>
          <w:color w:val="000000"/>
        </w:rPr>
        <w:t xml:space="preserve"> от 04.02.2017 № 139</w:t>
      </w:r>
      <w:r w:rsidRPr="0070440E">
        <w:rPr>
          <w:color w:val="000000"/>
        </w:rPr>
        <w:t xml:space="preserve">).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1 микрорайон, </w:t>
      </w:r>
      <w:r w:rsidR="00830D07">
        <w:rPr>
          <w:rStyle w:val="a6"/>
          <w:i w:val="0"/>
          <w:color w:val="000000"/>
        </w:rPr>
        <w:t>д.28/1, тел. 8 (845 74) 2-71-41</w:t>
      </w:r>
      <w:r>
        <w:rPr>
          <w:rStyle w:val="a6"/>
          <w:i w:val="0"/>
          <w:color w:val="000000"/>
        </w:rPr>
        <w:t>.</w:t>
      </w:r>
    </w:p>
    <w:p w:rsidR="004E6399" w:rsidRDefault="009002D1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 границах данного земельного участка расположены сети водоснабжения. На основании вышеизложенного необходимо пр</w:t>
      </w:r>
      <w:r w:rsidR="00BC76D4">
        <w:rPr>
          <w:color w:val="000000"/>
        </w:rPr>
        <w:t>о</w:t>
      </w:r>
      <w:r>
        <w:rPr>
          <w:color w:val="000000"/>
        </w:rPr>
        <w:t>извести вынос сетей водопровода за границы земельного участка.</w:t>
      </w:r>
      <w:r w:rsidR="00BC76D4">
        <w:rPr>
          <w:color w:val="000000"/>
        </w:rPr>
        <w:t xml:space="preserve"> При разрабо</w:t>
      </w:r>
      <w:r w:rsidR="00B036ED">
        <w:rPr>
          <w:color w:val="000000"/>
        </w:rPr>
        <w:t>тке проектной документации</w:t>
      </w:r>
      <w:proofErr w:type="gramStart"/>
      <w:r w:rsidR="00B036ED">
        <w:rPr>
          <w:color w:val="000000"/>
        </w:rPr>
        <w:t xml:space="preserve"> ,</w:t>
      </w:r>
      <w:proofErr w:type="gramEnd"/>
      <w:r w:rsidR="00B036ED">
        <w:rPr>
          <w:color w:val="000000"/>
        </w:rPr>
        <w:t xml:space="preserve"> организации и производстве работ по выносу сетей руководствоваться нормативно-технической документацией (</w:t>
      </w:r>
      <w:proofErr w:type="spellStart"/>
      <w:r w:rsidR="00B036ED">
        <w:rPr>
          <w:color w:val="000000"/>
        </w:rPr>
        <w:t>СНиП</w:t>
      </w:r>
      <w:proofErr w:type="spellEnd"/>
      <w:r w:rsidR="00B036ED">
        <w:rPr>
          <w:color w:val="000000"/>
        </w:rPr>
        <w:t xml:space="preserve">, СП, </w:t>
      </w:r>
      <w:proofErr w:type="spellStart"/>
      <w:r w:rsidR="00B036ED">
        <w:rPr>
          <w:color w:val="000000"/>
        </w:rPr>
        <w:t>СанПиН</w:t>
      </w:r>
      <w:proofErr w:type="spellEnd"/>
      <w:r w:rsidR="00B036ED">
        <w:rPr>
          <w:color w:val="000000"/>
        </w:rPr>
        <w:t xml:space="preserve">) действующей на территории Российской Федерации. </w:t>
      </w:r>
    </w:p>
    <w:p w:rsidR="00BC76D4" w:rsidRDefault="00BC76D4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Место подключения к системе водоснабжения в проектируемый водопроводный колодец по адресу: Саратовская область,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рмощенко</w:t>
      </w:r>
      <w:proofErr w:type="spellEnd"/>
      <w:r w:rsidR="00EE42BD">
        <w:rPr>
          <w:color w:val="000000"/>
        </w:rPr>
        <w:t xml:space="preserve">, диаметр водопровода 225мм, ПНД. </w:t>
      </w:r>
    </w:p>
    <w:p w:rsidR="00EE42BD" w:rsidRPr="0070440E" w:rsidRDefault="00EE42BD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</w:t>
      </w:r>
      <w:r w:rsidR="00EA137A">
        <w:rPr>
          <w:color w:val="000000"/>
        </w:rPr>
        <w:t>водоотведения в существующий канализационный коллектор диаметром 700мм, ж/б по ул</w:t>
      </w:r>
      <w:proofErr w:type="gramStart"/>
      <w:r w:rsidR="00EA137A">
        <w:rPr>
          <w:color w:val="000000"/>
        </w:rPr>
        <w:t>.Ж</w:t>
      </w:r>
      <w:proofErr w:type="gramEnd"/>
      <w:r w:rsidR="00EA137A">
        <w:rPr>
          <w:color w:val="000000"/>
        </w:rPr>
        <w:t xml:space="preserve">елезнодорожная в существующий канализационный колодец.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</w:t>
      </w:r>
      <w:r>
        <w:rPr>
          <w:color w:val="000000"/>
        </w:rPr>
        <w:lastRenderedPageBreak/>
        <w:t xml:space="preserve">подключении (технологическом присоединении) объектов капитального строительства к сетям газораспределения.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4E6399" w:rsidRDefault="004E6399" w:rsidP="004E6399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9F127E" w:rsidRDefault="009F127E" w:rsidP="004E6399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834092" w:rsidRDefault="00834092" w:rsidP="00834092">
      <w:pPr>
        <w:tabs>
          <w:tab w:val="left" w:pos="1155"/>
        </w:tabs>
        <w:suppressAutoHyphens/>
        <w:spacing w:after="0"/>
        <w:jc w:val="right"/>
        <w:rPr>
          <w:rFonts w:cs="Tahoma"/>
          <w:b/>
          <w:lang w:eastAsia="ar-SA"/>
        </w:rPr>
      </w:pPr>
    </w:p>
    <w:p w:rsidR="00307161" w:rsidRPr="00307161" w:rsidRDefault="00307161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5E" w:rsidRPr="00D3625E" w:rsidRDefault="00D3625E" w:rsidP="00917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25E">
        <w:rPr>
          <w:rFonts w:ascii="Times New Roman" w:hAnsi="Times New Roman"/>
          <w:b/>
          <w:bCs/>
          <w:sz w:val="24"/>
          <w:szCs w:val="24"/>
        </w:rPr>
        <w:t xml:space="preserve">ПК – 2. Зона производственно-коммунальных объектов </w:t>
      </w:r>
      <w:r w:rsidRPr="00D3625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91791D">
        <w:rPr>
          <w:rFonts w:ascii="Times New Roman" w:hAnsi="Times New Roman"/>
          <w:b/>
          <w:bCs/>
          <w:sz w:val="24"/>
          <w:szCs w:val="24"/>
        </w:rPr>
        <w:t xml:space="preserve"> класса вредности – земельный участок с кадастровым номером 64:46:010212:587.</w:t>
      </w:r>
    </w:p>
    <w:p w:rsidR="00D3625E" w:rsidRDefault="00D3625E" w:rsidP="0091791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3625E">
        <w:rPr>
          <w:rFonts w:ascii="Times New Roman" w:hAnsi="Times New Roman"/>
          <w:iCs/>
          <w:sz w:val="24"/>
          <w:szCs w:val="24"/>
        </w:rPr>
        <w:t xml:space="preserve">Зона ПК-2 выделена для обеспечения правовых условий формирования коммунально-производственных предприятий и складских баз </w:t>
      </w:r>
      <w:r w:rsidRPr="00D3625E">
        <w:rPr>
          <w:rFonts w:ascii="Times New Roman" w:hAnsi="Times New Roman"/>
          <w:iCs/>
          <w:sz w:val="24"/>
          <w:szCs w:val="24"/>
          <w:lang w:val="en-US"/>
        </w:rPr>
        <w:t>IV</w:t>
      </w:r>
      <w:r w:rsidRPr="00D3625E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</w:t>
      </w:r>
      <w:r>
        <w:rPr>
          <w:rFonts w:ascii="Times New Roman" w:hAnsi="Times New Roman"/>
          <w:iCs/>
          <w:sz w:val="24"/>
          <w:szCs w:val="24"/>
        </w:rPr>
        <w:t>й (санитарно-защитная зона 100м</w:t>
      </w:r>
      <w:r w:rsidRPr="00D3625E">
        <w:rPr>
          <w:rFonts w:ascii="Times New Roman" w:hAnsi="Times New Roman"/>
          <w:iCs/>
          <w:sz w:val="24"/>
          <w:szCs w:val="24"/>
        </w:rPr>
        <w:t>)</w:t>
      </w:r>
      <w:r w:rsidRPr="00D362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252" w:rsidRPr="00235252" w:rsidRDefault="00235252" w:rsidP="00235252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352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37"/>
        <w:gridCol w:w="4678"/>
      </w:tblGrid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2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25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525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3525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235252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235252" w:rsidRPr="00235252" w:rsidRDefault="00235252" w:rsidP="002352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235252" w:rsidRPr="00235252" w:rsidRDefault="00235252" w:rsidP="002352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235252" w:rsidRPr="00235252" w:rsidRDefault="00235252" w:rsidP="0023525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235252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235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Не менее 10 % территории, кроме земельных участков с кодом 6.1</w:t>
            </w:r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235252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40.8 </w:t>
            </w:r>
            <w:r w:rsidR="00EB113D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EB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3D" w:rsidRPr="00B72E10">
              <w:rPr>
                <w:rFonts w:ascii="Times New Roman" w:hAnsi="Times New Roman"/>
              </w:rPr>
              <w:t xml:space="preserve">  </w:t>
            </w:r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землепользования и застройки территории муниципального образования города </w:t>
            </w:r>
            <w:proofErr w:type="spellStart"/>
            <w:proofErr w:type="gramStart"/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EB11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  <w:proofErr w:type="gramEnd"/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25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40.9 </w:t>
            </w:r>
            <w:r w:rsidR="00EB113D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EB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3D" w:rsidRPr="00B72E10">
              <w:rPr>
                <w:rFonts w:ascii="Times New Roman" w:hAnsi="Times New Roman"/>
              </w:rPr>
              <w:t xml:space="preserve">  </w:t>
            </w:r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землепользования и застройки территории муниципального образования города </w:t>
            </w:r>
            <w:proofErr w:type="spellStart"/>
            <w:proofErr w:type="gramStart"/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EB11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  <w:proofErr w:type="gramEnd"/>
          </w:p>
        </w:tc>
      </w:tr>
      <w:tr w:rsidR="00235252" w:rsidRPr="00235252" w:rsidTr="00235252">
        <w:tc>
          <w:tcPr>
            <w:tcW w:w="675" w:type="dxa"/>
          </w:tcPr>
          <w:p w:rsidR="00235252" w:rsidRPr="00235252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vAlign w:val="center"/>
          </w:tcPr>
          <w:p w:rsidR="00235252" w:rsidRPr="00235252" w:rsidRDefault="00235252" w:rsidP="0023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678" w:type="dxa"/>
            <w:vAlign w:val="center"/>
          </w:tcPr>
          <w:p w:rsidR="00235252" w:rsidRPr="00235252" w:rsidRDefault="00235252" w:rsidP="00EB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52">
              <w:rPr>
                <w:rFonts w:ascii="Times New Roman" w:hAnsi="Times New Roman"/>
                <w:sz w:val="24"/>
                <w:szCs w:val="24"/>
              </w:rPr>
              <w:t>В соответствии со статьей 40.11</w:t>
            </w:r>
            <w:r w:rsidR="00EB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3D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EB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13D" w:rsidRPr="00B72E10">
              <w:rPr>
                <w:rFonts w:ascii="Times New Roman" w:hAnsi="Times New Roman"/>
              </w:rPr>
              <w:t xml:space="preserve">  </w:t>
            </w:r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землепользования и застройки территории муниципального образования города </w:t>
            </w:r>
            <w:proofErr w:type="spellStart"/>
            <w:proofErr w:type="gramStart"/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EB11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113D" w:rsidRPr="00B72E10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  <w:proofErr w:type="gramEnd"/>
          </w:p>
        </w:tc>
      </w:tr>
    </w:tbl>
    <w:p w:rsidR="00235252" w:rsidRPr="00235252" w:rsidRDefault="00235252" w:rsidP="00235252">
      <w:pPr>
        <w:spacing w:after="0" w:line="240" w:lineRule="auto"/>
        <w:ind w:firstLine="56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35252" w:rsidRPr="00235252" w:rsidRDefault="00235252" w:rsidP="00235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5252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235252" w:rsidRPr="00DE7437" w:rsidRDefault="00235252" w:rsidP="00235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5252">
        <w:rPr>
          <w:rFonts w:ascii="Times New Roman" w:hAnsi="Times New Roman"/>
          <w:sz w:val="24"/>
          <w:szCs w:val="24"/>
        </w:rPr>
        <w:lastRenderedPageBreak/>
        <w:t>Для зон</w:t>
      </w:r>
      <w:r w:rsidRPr="00235252">
        <w:rPr>
          <w:rFonts w:ascii="Times New Roman" w:hAnsi="Times New Roman"/>
          <w:b/>
          <w:bCs/>
          <w:sz w:val="24"/>
          <w:szCs w:val="24"/>
        </w:rPr>
        <w:t xml:space="preserve"> ПК-2, находящихся в </w:t>
      </w:r>
      <w:proofErr w:type="spellStart"/>
      <w:r w:rsidRPr="00235252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235252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235252">
        <w:rPr>
          <w:rFonts w:ascii="Times New Roman" w:hAnsi="Times New Roman"/>
          <w:sz w:val="24"/>
          <w:szCs w:val="24"/>
        </w:rPr>
        <w:t xml:space="preserve">установлены </w:t>
      </w:r>
      <w:r w:rsidRPr="00235252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23525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235252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235252">
        <w:rPr>
          <w:rFonts w:ascii="Times New Roman" w:hAnsi="Times New Roman"/>
          <w:b/>
          <w:bCs/>
          <w:sz w:val="24"/>
          <w:szCs w:val="24"/>
        </w:rPr>
        <w:t xml:space="preserve"> зон (статья 43</w:t>
      </w:r>
      <w:r w:rsidR="00DE7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7437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DE7437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E7437">
        <w:rPr>
          <w:rFonts w:ascii="Times New Roman" w:hAnsi="Times New Roman"/>
          <w:b/>
          <w:bCs/>
          <w:sz w:val="24"/>
          <w:szCs w:val="24"/>
        </w:rPr>
        <w:t>).</w:t>
      </w:r>
    </w:p>
    <w:p w:rsidR="00235252" w:rsidRPr="00235252" w:rsidRDefault="00235252" w:rsidP="00DE74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5252">
        <w:rPr>
          <w:rFonts w:ascii="Times New Roman" w:hAnsi="Times New Roman"/>
          <w:sz w:val="24"/>
          <w:szCs w:val="24"/>
        </w:rPr>
        <w:t>Для зоны</w:t>
      </w:r>
      <w:r w:rsidRPr="00235252">
        <w:rPr>
          <w:rFonts w:ascii="Times New Roman" w:hAnsi="Times New Roman"/>
          <w:b/>
          <w:bCs/>
          <w:sz w:val="24"/>
          <w:szCs w:val="24"/>
        </w:rPr>
        <w:t xml:space="preserve"> ПК-2, находящейся в прибрежной защитной полосе </w:t>
      </w:r>
      <w:r w:rsidRPr="00235252">
        <w:rPr>
          <w:rFonts w:ascii="Times New Roman" w:hAnsi="Times New Roman"/>
          <w:sz w:val="24"/>
          <w:szCs w:val="24"/>
        </w:rPr>
        <w:t xml:space="preserve">установлены </w:t>
      </w:r>
      <w:r w:rsidRPr="00235252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235252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235252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DE743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DE7437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DE7437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Пугачева).</w:t>
      </w:r>
    </w:p>
    <w:p w:rsidR="00235252" w:rsidRPr="00235252" w:rsidRDefault="00235252" w:rsidP="00235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5252">
        <w:rPr>
          <w:rFonts w:ascii="Times New Roman" w:hAnsi="Times New Roman"/>
          <w:sz w:val="24"/>
          <w:szCs w:val="24"/>
        </w:rPr>
        <w:t>Для зон</w:t>
      </w:r>
      <w:r w:rsidRPr="00235252">
        <w:rPr>
          <w:rFonts w:ascii="Times New Roman" w:hAnsi="Times New Roman"/>
          <w:b/>
          <w:bCs/>
          <w:sz w:val="24"/>
          <w:szCs w:val="24"/>
        </w:rPr>
        <w:t xml:space="preserve"> ПК-2, находящихся в охранной зоне линий электропередач  </w:t>
      </w:r>
      <w:r w:rsidRPr="00235252">
        <w:rPr>
          <w:rFonts w:ascii="Times New Roman" w:hAnsi="Times New Roman"/>
          <w:sz w:val="24"/>
          <w:szCs w:val="24"/>
        </w:rPr>
        <w:t xml:space="preserve">установлены </w:t>
      </w:r>
      <w:r w:rsidRPr="00235252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235252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45.2</w:t>
      </w:r>
      <w:r w:rsidR="00DE7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7437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DE7437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="00DE7437">
        <w:rPr>
          <w:rFonts w:ascii="Times New Roman" w:hAnsi="Times New Roman"/>
          <w:b/>
          <w:bCs/>
          <w:sz w:val="24"/>
          <w:szCs w:val="24"/>
        </w:rPr>
        <w:t>).</w:t>
      </w:r>
    </w:p>
    <w:p w:rsidR="00235252" w:rsidRPr="00235252" w:rsidRDefault="00235252" w:rsidP="00DE74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5252">
        <w:rPr>
          <w:rFonts w:ascii="Times New Roman" w:hAnsi="Times New Roman"/>
          <w:sz w:val="24"/>
          <w:szCs w:val="24"/>
        </w:rPr>
        <w:t>Для зоны</w:t>
      </w:r>
      <w:r w:rsidRPr="00235252">
        <w:rPr>
          <w:rFonts w:ascii="Times New Roman" w:hAnsi="Times New Roman"/>
          <w:b/>
          <w:bCs/>
          <w:sz w:val="24"/>
          <w:szCs w:val="24"/>
        </w:rPr>
        <w:t xml:space="preserve"> ПК-2, находящейся на территории</w:t>
      </w:r>
      <w:r w:rsidRPr="00235252">
        <w:rPr>
          <w:rFonts w:ascii="Times New Roman" w:hAnsi="Times New Roman"/>
          <w:sz w:val="24"/>
          <w:szCs w:val="24"/>
        </w:rPr>
        <w:t xml:space="preserve"> </w:t>
      </w:r>
      <w:r w:rsidRPr="00235252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235252">
        <w:rPr>
          <w:rFonts w:ascii="Times New Roman" w:hAnsi="Times New Roman"/>
          <w:sz w:val="24"/>
          <w:szCs w:val="24"/>
        </w:rPr>
        <w:t xml:space="preserve"> установлены </w:t>
      </w:r>
      <w:r w:rsidRPr="00235252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235252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235252">
        <w:rPr>
          <w:rFonts w:ascii="Times New Roman" w:hAnsi="Times New Roman"/>
          <w:b/>
          <w:bCs/>
          <w:sz w:val="24"/>
          <w:szCs w:val="24"/>
          <w:lang w:eastAsia="ar-SA"/>
        </w:rPr>
        <w:t>(статья 46</w:t>
      </w:r>
      <w:r w:rsidR="00DE743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DE7437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DE7437" w:rsidRPr="00DE7437">
        <w:rPr>
          <w:rFonts w:ascii="Times New Roman" w:hAnsi="Times New Roman"/>
          <w:b/>
        </w:rPr>
        <w:t xml:space="preserve">  </w:t>
      </w:r>
      <w:r w:rsidR="00DE7437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Пугачева).</w:t>
      </w:r>
    </w:p>
    <w:p w:rsidR="00235252" w:rsidRPr="00235252" w:rsidRDefault="00235252" w:rsidP="00235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5252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235252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235252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235252" w:rsidRPr="00235252" w:rsidRDefault="00235252" w:rsidP="00235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625E" w:rsidRPr="00235252" w:rsidRDefault="00D3625E" w:rsidP="00235252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</w:p>
    <w:p w:rsidR="00D3625E" w:rsidRPr="00235252" w:rsidRDefault="00D3625E" w:rsidP="00235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3625E" w:rsidRPr="00235252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1587F"/>
    <w:rsid w:val="00016A0D"/>
    <w:rsid w:val="000225E1"/>
    <w:rsid w:val="0003043C"/>
    <w:rsid w:val="00033CC1"/>
    <w:rsid w:val="00044182"/>
    <w:rsid w:val="00047F29"/>
    <w:rsid w:val="00066018"/>
    <w:rsid w:val="000715B8"/>
    <w:rsid w:val="000A2A66"/>
    <w:rsid w:val="000B3AC6"/>
    <w:rsid w:val="000C6E83"/>
    <w:rsid w:val="000C77CF"/>
    <w:rsid w:val="000D191E"/>
    <w:rsid w:val="000D6405"/>
    <w:rsid w:val="000E6484"/>
    <w:rsid w:val="000F3577"/>
    <w:rsid w:val="000F5A5E"/>
    <w:rsid w:val="00112DFC"/>
    <w:rsid w:val="00122A77"/>
    <w:rsid w:val="00123252"/>
    <w:rsid w:val="00123E07"/>
    <w:rsid w:val="001357A2"/>
    <w:rsid w:val="001751F5"/>
    <w:rsid w:val="001D6719"/>
    <w:rsid w:val="001F030F"/>
    <w:rsid w:val="00211FD1"/>
    <w:rsid w:val="00216885"/>
    <w:rsid w:val="0023028B"/>
    <w:rsid w:val="00235252"/>
    <w:rsid w:val="00264516"/>
    <w:rsid w:val="00283028"/>
    <w:rsid w:val="002D2B14"/>
    <w:rsid w:val="002D454C"/>
    <w:rsid w:val="002E135E"/>
    <w:rsid w:val="002E16DD"/>
    <w:rsid w:val="002E58A8"/>
    <w:rsid w:val="00303CA1"/>
    <w:rsid w:val="003059A3"/>
    <w:rsid w:val="00307161"/>
    <w:rsid w:val="003123DF"/>
    <w:rsid w:val="00316330"/>
    <w:rsid w:val="0031796D"/>
    <w:rsid w:val="00325FA4"/>
    <w:rsid w:val="00336224"/>
    <w:rsid w:val="00350F4B"/>
    <w:rsid w:val="00360DFF"/>
    <w:rsid w:val="003822B6"/>
    <w:rsid w:val="0038688B"/>
    <w:rsid w:val="003878D5"/>
    <w:rsid w:val="003B6C16"/>
    <w:rsid w:val="003C6ECF"/>
    <w:rsid w:val="003D265F"/>
    <w:rsid w:val="003E168E"/>
    <w:rsid w:val="003E7401"/>
    <w:rsid w:val="003F4889"/>
    <w:rsid w:val="003F5B68"/>
    <w:rsid w:val="00407500"/>
    <w:rsid w:val="00411C09"/>
    <w:rsid w:val="00412B8E"/>
    <w:rsid w:val="00426F9D"/>
    <w:rsid w:val="00430C87"/>
    <w:rsid w:val="004349B3"/>
    <w:rsid w:val="004377BD"/>
    <w:rsid w:val="00463F2E"/>
    <w:rsid w:val="0046535B"/>
    <w:rsid w:val="004747C7"/>
    <w:rsid w:val="004920BD"/>
    <w:rsid w:val="0049217C"/>
    <w:rsid w:val="004A6B87"/>
    <w:rsid w:val="004B2C3F"/>
    <w:rsid w:val="004C0EE9"/>
    <w:rsid w:val="004C145A"/>
    <w:rsid w:val="004C1F31"/>
    <w:rsid w:val="004C429A"/>
    <w:rsid w:val="004D02A1"/>
    <w:rsid w:val="004D14F5"/>
    <w:rsid w:val="004E3C45"/>
    <w:rsid w:val="004E3C7A"/>
    <w:rsid w:val="004E6399"/>
    <w:rsid w:val="004F0874"/>
    <w:rsid w:val="004F7CD5"/>
    <w:rsid w:val="00500E7D"/>
    <w:rsid w:val="00506A4C"/>
    <w:rsid w:val="005137A9"/>
    <w:rsid w:val="00517339"/>
    <w:rsid w:val="00520CED"/>
    <w:rsid w:val="00526DDB"/>
    <w:rsid w:val="00541B9C"/>
    <w:rsid w:val="005443EA"/>
    <w:rsid w:val="00563D76"/>
    <w:rsid w:val="00574FE5"/>
    <w:rsid w:val="005764E5"/>
    <w:rsid w:val="00587625"/>
    <w:rsid w:val="0059325C"/>
    <w:rsid w:val="005B4881"/>
    <w:rsid w:val="005C3142"/>
    <w:rsid w:val="005C77F8"/>
    <w:rsid w:val="005D1417"/>
    <w:rsid w:val="005E440B"/>
    <w:rsid w:val="00635EAF"/>
    <w:rsid w:val="006609DF"/>
    <w:rsid w:val="006630AA"/>
    <w:rsid w:val="00663AF5"/>
    <w:rsid w:val="00672FAB"/>
    <w:rsid w:val="006A5890"/>
    <w:rsid w:val="006B70DE"/>
    <w:rsid w:val="006C1D87"/>
    <w:rsid w:val="006C2874"/>
    <w:rsid w:val="006C7DBC"/>
    <w:rsid w:val="006D651E"/>
    <w:rsid w:val="006D759D"/>
    <w:rsid w:val="0071198A"/>
    <w:rsid w:val="00716A75"/>
    <w:rsid w:val="00720473"/>
    <w:rsid w:val="00731C2B"/>
    <w:rsid w:val="0074014B"/>
    <w:rsid w:val="007852CF"/>
    <w:rsid w:val="00791070"/>
    <w:rsid w:val="00792772"/>
    <w:rsid w:val="007A76A9"/>
    <w:rsid w:val="007B0E03"/>
    <w:rsid w:val="007C72A3"/>
    <w:rsid w:val="007D3C0C"/>
    <w:rsid w:val="008237E1"/>
    <w:rsid w:val="00830D07"/>
    <w:rsid w:val="00834092"/>
    <w:rsid w:val="00853C05"/>
    <w:rsid w:val="0087705E"/>
    <w:rsid w:val="00877AC3"/>
    <w:rsid w:val="00882F1C"/>
    <w:rsid w:val="0089397D"/>
    <w:rsid w:val="008968F4"/>
    <w:rsid w:val="008A36D1"/>
    <w:rsid w:val="008A3973"/>
    <w:rsid w:val="008B47FC"/>
    <w:rsid w:val="008C712B"/>
    <w:rsid w:val="008D29BE"/>
    <w:rsid w:val="008E36A1"/>
    <w:rsid w:val="008E4BA4"/>
    <w:rsid w:val="008E6BA9"/>
    <w:rsid w:val="008F7FBC"/>
    <w:rsid w:val="009002D1"/>
    <w:rsid w:val="00910A11"/>
    <w:rsid w:val="0091791D"/>
    <w:rsid w:val="009250C0"/>
    <w:rsid w:val="00931CF8"/>
    <w:rsid w:val="00946F27"/>
    <w:rsid w:val="00950F8A"/>
    <w:rsid w:val="0095471A"/>
    <w:rsid w:val="00960651"/>
    <w:rsid w:val="00964DEF"/>
    <w:rsid w:val="00974FA4"/>
    <w:rsid w:val="0097502F"/>
    <w:rsid w:val="00977B39"/>
    <w:rsid w:val="00993E1F"/>
    <w:rsid w:val="009A70C6"/>
    <w:rsid w:val="009B324A"/>
    <w:rsid w:val="009B5DFC"/>
    <w:rsid w:val="009C32ED"/>
    <w:rsid w:val="009E5EE2"/>
    <w:rsid w:val="009F127E"/>
    <w:rsid w:val="00A103C8"/>
    <w:rsid w:val="00A3204B"/>
    <w:rsid w:val="00A34697"/>
    <w:rsid w:val="00A36795"/>
    <w:rsid w:val="00A42A7A"/>
    <w:rsid w:val="00A42DBF"/>
    <w:rsid w:val="00A628E3"/>
    <w:rsid w:val="00A6467C"/>
    <w:rsid w:val="00A84EA1"/>
    <w:rsid w:val="00A85EA7"/>
    <w:rsid w:val="00A90354"/>
    <w:rsid w:val="00AA4F0D"/>
    <w:rsid w:val="00AB7B21"/>
    <w:rsid w:val="00AC55B0"/>
    <w:rsid w:val="00AD7105"/>
    <w:rsid w:val="00AF6125"/>
    <w:rsid w:val="00B036ED"/>
    <w:rsid w:val="00B038BE"/>
    <w:rsid w:val="00B1603E"/>
    <w:rsid w:val="00B16E43"/>
    <w:rsid w:val="00B22418"/>
    <w:rsid w:val="00B2502A"/>
    <w:rsid w:val="00B40888"/>
    <w:rsid w:val="00B50CFE"/>
    <w:rsid w:val="00B62CE4"/>
    <w:rsid w:val="00B71460"/>
    <w:rsid w:val="00B74941"/>
    <w:rsid w:val="00B75D57"/>
    <w:rsid w:val="00B83AD0"/>
    <w:rsid w:val="00B905AC"/>
    <w:rsid w:val="00BA4319"/>
    <w:rsid w:val="00BA5269"/>
    <w:rsid w:val="00BA5A56"/>
    <w:rsid w:val="00BC059D"/>
    <w:rsid w:val="00BC11FB"/>
    <w:rsid w:val="00BC76D4"/>
    <w:rsid w:val="00BD47A8"/>
    <w:rsid w:val="00BE0EC7"/>
    <w:rsid w:val="00BE77A1"/>
    <w:rsid w:val="00BF57CC"/>
    <w:rsid w:val="00C01A6F"/>
    <w:rsid w:val="00C03AE7"/>
    <w:rsid w:val="00C048F4"/>
    <w:rsid w:val="00C15772"/>
    <w:rsid w:val="00C44DD3"/>
    <w:rsid w:val="00C610F0"/>
    <w:rsid w:val="00C64B38"/>
    <w:rsid w:val="00C86D51"/>
    <w:rsid w:val="00C95D32"/>
    <w:rsid w:val="00CA3ED0"/>
    <w:rsid w:val="00CB0B28"/>
    <w:rsid w:val="00CB3311"/>
    <w:rsid w:val="00CB6F35"/>
    <w:rsid w:val="00CC11C6"/>
    <w:rsid w:val="00CC26DF"/>
    <w:rsid w:val="00CC4754"/>
    <w:rsid w:val="00CD1D3A"/>
    <w:rsid w:val="00CF515A"/>
    <w:rsid w:val="00D1160A"/>
    <w:rsid w:val="00D3625E"/>
    <w:rsid w:val="00D369C0"/>
    <w:rsid w:val="00D37DEF"/>
    <w:rsid w:val="00D46141"/>
    <w:rsid w:val="00D52D4B"/>
    <w:rsid w:val="00D81050"/>
    <w:rsid w:val="00D834CB"/>
    <w:rsid w:val="00D853FC"/>
    <w:rsid w:val="00D869D4"/>
    <w:rsid w:val="00DA4BE7"/>
    <w:rsid w:val="00DB28A7"/>
    <w:rsid w:val="00DD2A6B"/>
    <w:rsid w:val="00DD3ABE"/>
    <w:rsid w:val="00DD743A"/>
    <w:rsid w:val="00DE5FBF"/>
    <w:rsid w:val="00DE7437"/>
    <w:rsid w:val="00DF173B"/>
    <w:rsid w:val="00DF608B"/>
    <w:rsid w:val="00DF743C"/>
    <w:rsid w:val="00E05D6A"/>
    <w:rsid w:val="00E161F2"/>
    <w:rsid w:val="00E23629"/>
    <w:rsid w:val="00E33BAC"/>
    <w:rsid w:val="00E3444F"/>
    <w:rsid w:val="00E350AB"/>
    <w:rsid w:val="00E37676"/>
    <w:rsid w:val="00E42464"/>
    <w:rsid w:val="00E42AC5"/>
    <w:rsid w:val="00E527F8"/>
    <w:rsid w:val="00E5435B"/>
    <w:rsid w:val="00E83E67"/>
    <w:rsid w:val="00E93DB7"/>
    <w:rsid w:val="00EA137A"/>
    <w:rsid w:val="00EB113D"/>
    <w:rsid w:val="00EC0989"/>
    <w:rsid w:val="00EC209F"/>
    <w:rsid w:val="00EC7B69"/>
    <w:rsid w:val="00ED31A1"/>
    <w:rsid w:val="00ED40A5"/>
    <w:rsid w:val="00ED571B"/>
    <w:rsid w:val="00EE0DD5"/>
    <w:rsid w:val="00EE42BD"/>
    <w:rsid w:val="00EF7B4D"/>
    <w:rsid w:val="00F13C59"/>
    <w:rsid w:val="00F20413"/>
    <w:rsid w:val="00F22E10"/>
    <w:rsid w:val="00F32B83"/>
    <w:rsid w:val="00F379B9"/>
    <w:rsid w:val="00F44108"/>
    <w:rsid w:val="00F4700C"/>
    <w:rsid w:val="00F4781F"/>
    <w:rsid w:val="00F87ABA"/>
    <w:rsid w:val="00FB2BC6"/>
    <w:rsid w:val="00FD25D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6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68</cp:revision>
  <cp:lastPrinted>2021-02-08T05:58:00Z</cp:lastPrinted>
  <dcterms:created xsi:type="dcterms:W3CDTF">2021-02-02T07:51:00Z</dcterms:created>
  <dcterms:modified xsi:type="dcterms:W3CDTF">2021-04-21T07:11:00Z</dcterms:modified>
</cp:coreProperties>
</file>