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Мероприятия, направленные на снижение уровней профессиональных рисков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Приказом Минтруда России от 29.10.2021 № 771н утвержден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С 1 марта 2022 года устанавливается новый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В перечень мероприятий, в том числе, входят: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— </w:t>
      </w:r>
      <w:r>
        <w:rPr/>
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>
      <w:pPr>
        <w:pStyle w:val="Normal"/>
        <w:bidi w:val="0"/>
        <w:jc w:val="left"/>
        <w:rPr/>
      </w:pPr>
      <w:r>
        <w:rPr/>
        <w:t xml:space="preserve">— </w:t>
      </w:r>
      <w:r>
        <w:rPr/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>
      <w:pPr>
        <w:pStyle w:val="Normal"/>
        <w:bidi w:val="0"/>
        <w:jc w:val="left"/>
        <w:rPr/>
      </w:pPr>
      <w:r>
        <w:rPr/>
        <w:t xml:space="preserve">— </w:t>
      </w:r>
      <w:r>
        <w:rPr/>
        <w:t>обеспечение естественного и искусственного освещения на рабочих местах, в бытовых помещениях, местах прохода работников.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Признается утратившим Приказ Минздравсоцразвития России от 1 марта 2012 года № 181н, регулирующий аналогичные правоотношения.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141</Words>
  <Characters>1085</Characters>
  <CharactersWithSpaces>1226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2021-12-13T08:50:18Z</dcterms:created>
  <dc:creator/>
  <dc:description/>
  <dc:language>ru-RU</dc:language>
  <cp:lastModifiedBy/>
  <dcterms:modified xsi:type="dcterms:W3CDTF">2021-12-13T08:51:48Z</dcterms:modified>
  <cp:revision>1</cp:revision>
  <dc:subject/>
  <dc:title/>
</cp:coreProperties>
</file>