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85" w:rsidRDefault="000C0A85" w:rsidP="000C0A8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</w:p>
    <w:p w:rsidR="00936948" w:rsidRPr="000C0A85" w:rsidRDefault="000C0A85" w:rsidP="000C0A8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936948" w:rsidRDefault="00936948" w:rsidP="00936948">
      <w:pPr>
        <w:tabs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936948" w:rsidRDefault="00936948" w:rsidP="00936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</w:t>
      </w:r>
      <w:r w:rsidR="000C0A8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 1 августа 2016 года № 564</w:t>
      </w:r>
    </w:p>
    <w:p w:rsidR="00936948" w:rsidRDefault="00936948" w:rsidP="00936948">
      <w:pPr>
        <w:tabs>
          <w:tab w:val="left" w:pos="949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36948" w:rsidRDefault="00936948" w:rsidP="009369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утверждении Порядка принятия решения</w:t>
      </w:r>
    </w:p>
    <w:p w:rsidR="00936948" w:rsidRDefault="00936948" w:rsidP="009369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признании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безнадежной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 взысканию </w:t>
      </w:r>
    </w:p>
    <w:p w:rsidR="00936948" w:rsidRDefault="00936948" w:rsidP="009369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задолженности по платежам в бюджет </w:t>
      </w:r>
    </w:p>
    <w:p w:rsidR="00936948" w:rsidRDefault="00936948" w:rsidP="009369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Пугачевского муниципального района </w:t>
      </w:r>
    </w:p>
    <w:p w:rsidR="00936948" w:rsidRDefault="00936948" w:rsidP="009369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Саратовской области</w:t>
      </w:r>
    </w:p>
    <w:p w:rsidR="00936948" w:rsidRDefault="00936948" w:rsidP="00936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936948" w:rsidRDefault="00936948" w:rsidP="009369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Уставом Пугачевского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администрация Пугачевского муниципального района ПОСТАНОВЛЯЕТ:</w:t>
      </w:r>
    </w:p>
    <w:p w:rsidR="00936948" w:rsidRDefault="00936948" w:rsidP="009369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1.Утвердить: </w:t>
      </w:r>
    </w:p>
    <w:p w:rsidR="00936948" w:rsidRDefault="00936948" w:rsidP="00936948">
      <w:pPr>
        <w:tabs>
          <w:tab w:val="left" w:pos="-34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порядок принятия решения о признании безнадежной к взысканию задолженности по платежам в бюджет Пугачевского муниципального района Саратовской области согласно приложению № 1;</w:t>
      </w:r>
    </w:p>
    <w:p w:rsidR="00936948" w:rsidRDefault="00936948" w:rsidP="00936948">
      <w:pPr>
        <w:tabs>
          <w:tab w:val="left" w:pos="-34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положение о комиссии по рассмотрению вопросов о признании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безна-дежной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взысканию задолженности по платежам в бюджет Пугачевского муниципального района Саратовской области согласно приложению № 2;</w:t>
      </w:r>
    </w:p>
    <w:p w:rsidR="00936948" w:rsidRDefault="00936948" w:rsidP="00936948">
      <w:pPr>
        <w:tabs>
          <w:tab w:val="left" w:pos="-340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состав комиссии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согласно приложению № 3.</w:t>
      </w:r>
    </w:p>
    <w:p w:rsidR="00936948" w:rsidRDefault="00936948" w:rsidP="0093694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936948" w:rsidRDefault="00936948" w:rsidP="00936948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3.Настоящее постановление вступает в силу со дня его официального опубликования.</w:t>
      </w:r>
    </w:p>
    <w:p w:rsidR="00936948" w:rsidRDefault="00936948" w:rsidP="0093694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948" w:rsidRDefault="00936948" w:rsidP="00936948">
      <w:pPr>
        <w:spacing w:after="0" w:line="240" w:lineRule="auto"/>
        <w:ind w:firstLine="709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936948" w:rsidRDefault="00936948" w:rsidP="0093694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</w:p>
    <w:p w:rsidR="00936948" w:rsidRDefault="00936948" w:rsidP="0093694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района                                                                    С.А.Сидоров</w:t>
      </w:r>
    </w:p>
    <w:p w:rsidR="000C0A85" w:rsidRDefault="000C0A85" w:rsidP="0093694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8"/>
          <w:szCs w:val="26"/>
          <w:lang w:eastAsia="en-US"/>
        </w:rPr>
      </w:pPr>
    </w:p>
    <w:p w:rsidR="000C0A85" w:rsidRDefault="000C0A85" w:rsidP="0093694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8"/>
          <w:szCs w:val="26"/>
          <w:lang w:eastAsia="en-US"/>
        </w:rPr>
      </w:pPr>
    </w:p>
    <w:p w:rsidR="000C0A85" w:rsidRDefault="000C0A85" w:rsidP="0093694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8"/>
          <w:szCs w:val="26"/>
          <w:lang w:eastAsia="en-US"/>
        </w:rPr>
      </w:pPr>
    </w:p>
    <w:p w:rsidR="000C0A85" w:rsidRDefault="000C0A85" w:rsidP="0093694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8"/>
          <w:szCs w:val="26"/>
          <w:lang w:eastAsia="en-US"/>
        </w:rPr>
      </w:pPr>
    </w:p>
    <w:p w:rsidR="000C0A85" w:rsidRDefault="000C0A85" w:rsidP="0093694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8"/>
          <w:szCs w:val="26"/>
          <w:lang w:eastAsia="en-US"/>
        </w:rPr>
      </w:pPr>
    </w:p>
    <w:p w:rsidR="000C0A85" w:rsidRDefault="000C0A85" w:rsidP="0093694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8"/>
          <w:szCs w:val="26"/>
          <w:lang w:eastAsia="en-US"/>
        </w:rPr>
      </w:pPr>
    </w:p>
    <w:p w:rsidR="000C0A85" w:rsidRDefault="000C0A85" w:rsidP="0093694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8"/>
          <w:szCs w:val="26"/>
          <w:lang w:eastAsia="en-US"/>
        </w:rPr>
      </w:pPr>
    </w:p>
    <w:p w:rsidR="000C0A85" w:rsidRDefault="000C0A85" w:rsidP="0093694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8"/>
          <w:szCs w:val="26"/>
          <w:lang w:eastAsia="en-US"/>
        </w:rPr>
      </w:pP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eastAsia="Calibri" w:hAnsi="Times New Roman" w:cs="Times New Roman"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sz w:val="28"/>
          <w:szCs w:val="26"/>
          <w:lang w:eastAsia="en-US"/>
        </w:rPr>
        <w:lastRenderedPageBreak/>
        <w:t>Приложение № 1 к постановлению</w:t>
      </w: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sz w:val="28"/>
          <w:szCs w:val="26"/>
          <w:lang w:eastAsia="en-US"/>
        </w:rPr>
        <w:t>администрации Пугачевского муниципального района</w:t>
      </w: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6"/>
          <w:lang w:eastAsia="en-US"/>
        </w:rPr>
      </w:pPr>
      <w:r>
        <w:rPr>
          <w:rFonts w:ascii="Times New Roman" w:eastAsia="Calibri" w:hAnsi="Times New Roman" w:cs="Times New Roman"/>
          <w:sz w:val="28"/>
          <w:szCs w:val="26"/>
          <w:lang w:eastAsia="en-US"/>
        </w:rPr>
        <w:t xml:space="preserve">от 1 августа 2016 года № 564 </w:t>
      </w: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Arial"/>
          <w:bCs/>
          <w:sz w:val="28"/>
          <w:szCs w:val="20"/>
        </w:rPr>
      </w:pP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left="-140"/>
        <w:jc w:val="center"/>
        <w:rPr>
          <w:rFonts w:ascii="Times New Roman" w:eastAsia="Times New Roman" w:hAnsi="Times New Roman" w:cs="Arial"/>
          <w:bCs/>
          <w:sz w:val="28"/>
          <w:szCs w:val="20"/>
        </w:rPr>
      </w:pP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left="-140"/>
        <w:jc w:val="center"/>
        <w:rPr>
          <w:rFonts w:ascii="Times New Roman" w:eastAsia="Times New Roman" w:hAnsi="Times New Roman" w:cs="Arial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b/>
          <w:bCs/>
          <w:sz w:val="28"/>
          <w:szCs w:val="28"/>
        </w:rPr>
        <w:t xml:space="preserve">Порядок </w:t>
      </w: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left="-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принятия решения о признании безнадежной к взысканию задолженности по платежам в бюджет Пугачевского муниципального района  </w:t>
      </w: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left="-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 (далее – Порядок)</w:t>
      </w: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left="-1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left="-14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1.Настоящий Порядок определяет правила и условия принятия решения о признании безнадежной к взысканию задолженности по платежам в бюджет Пугачевского муниципального района (далее – местный бюджет) по коду главного администратора доходов 054 «Администрация Пугачевского муниципального района Саратовской области».</w:t>
      </w: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 (далее – задолженность).</w:t>
      </w: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 </w:t>
      </w: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3.Администрация Пугачевского муниципального района Саратовской области в соответствии с пунктом 2 статьи 160.1 Бюджетного кодекса Российской Федерации осуществляет бюджетные полномочия по принятию решения о признании безнадежной к взысканию задолженности по платежам в местный бюджет. </w:t>
      </w: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4.Инициатором признания безнадежной к взысканию задолженности по платежам в местный бюджет является администратор соответствующих поступлений.</w:t>
      </w: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5.Основаниями для принятия решения о признании безнадежной к взысканию задолженности по платежам в местный бюджет по главе 054 являются законодательно установленные случаи:</w:t>
      </w: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а) смерть физического лица – плательщика платежей в бюджет или объявление его умершим в порядке, установленном гражданским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процес-суальным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законодательством Российской Федерации;</w:t>
      </w: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б) признание банкротом индивидуального предпринимателя –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платель-щика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платежей в бюджет в соответствии с Федеральным </w:t>
      </w:r>
      <w:hyperlink r:id="rId4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26 октября 2002 года № 127-ФЗ «О несостоятельности  (банкротстве)» в части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задол-женности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платежам в бюджет, не погашенным по причине недостаточности имущества должника;</w:t>
      </w: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в) ликвидация организации –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г) принятие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вынесение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пунктами 3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hyperlink r:id="rId6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4 части 1 статьи 46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2 октября 2007 года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936948" w:rsidRDefault="00936948" w:rsidP="0093694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Помимо указанных случаев, административные штрафы, не уплаченные в установленный срок, признаются безнадежными к взысканию в случае истечения установленного </w:t>
      </w:r>
      <w:hyperlink r:id="rId7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об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админи-стративных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6.Перечень документов для каждого случая, указанного в пункте 5 Порядка, необходимый для признания безнадежной к взысканию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задолжен-ности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платежам в местный бюджет включает в себя следующие документы:</w:t>
      </w:r>
      <w:proofErr w:type="gramEnd"/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а) выписка из отчетности администратора доходов бюджета об учитываемых суммах задолженности по уплате платежей в бюджет;</w:t>
      </w: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б) справка администратора доходов бюджета о принятых мерах по обеспечению взыскания задолженности по платежам в бюджет;</w:t>
      </w: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в) документы, подтверждающие случаи признания безнадежной к взысканию задолженности по платежам в бюджет, в том числе:</w:t>
      </w: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документ, свидетельствующий о смерти физического лица – плательщика платежей в бюджет или подтверждающий факт объявления его умершим;</w:t>
      </w:r>
      <w:proofErr w:type="gramEnd"/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из Единого государственного реестра юридических лиц 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прекращении деятельности в связи с ликвидацией организации – плательщика платежей в бюджет;</w:t>
      </w: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судебного пристава – исполнителя об окончании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исполни-тельного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производства при возврате взыскателю исполнительного документа по основаниям, предусмотренным </w:t>
      </w:r>
      <w:hyperlink r:id="rId8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пунктами 3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hyperlink r:id="rId9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</w:rPr>
          <w:t>4 части 1 статьи 46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Федерального закона от 2 октября 2007 года № 229-ФЗ «Об исполнительном производстве».</w:t>
      </w: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7.Решение о признании безнадежной к взысканию задолженности по платежам в местный бюджет  и её списании, оформляется по форме согласно приложению к Порядку и утверждается руководителем администратора доходов.</w:t>
      </w: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Решение о признании безнадежной к взысканию задолженности по платежам в местный бюджет, подлежит оформлению в 3-х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дневный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срок с момента подписания протокола комиссии и принимается отдельно по каждому юридическому лицу, индивидуальному предпринимателю или физическому лицу по коду вида неналоговых доходов местного бюджета постоянно действующей комиссией.</w:t>
      </w:r>
    </w:p>
    <w:p w:rsidR="00936948" w:rsidRDefault="00936948" w:rsidP="00936948">
      <w:pPr>
        <w:widowControl w:val="0"/>
        <w:tabs>
          <w:tab w:val="left" w:pos="983"/>
        </w:tabs>
        <w:spacing w:after="0" w:line="240" w:lineRule="auto"/>
        <w:ind w:right="106" w:firstLine="720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8.Р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ешение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признании безнадежной к взысканию задолженности по платежам в местный бюджет передаются в финансовое управление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админи-страции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Саратовской области.</w:t>
      </w:r>
    </w:p>
    <w:p w:rsidR="00936948" w:rsidRDefault="00936948" w:rsidP="009369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9.Списание (восстановление) задолженности по платежам в местный бюджет по главе 054 осуществляется на основании решения о признании безнадежной к взысканию задолженности по платежам в местный бюджет по главе 054 в соответствии с пунктом 339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государственных (муниципальных) учреждений, утвержденной приказом Минфина России от 1 декабря 2010 года № 157н. </w:t>
      </w:r>
    </w:p>
    <w:p w:rsidR="00936948" w:rsidRDefault="00936948" w:rsidP="00936948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en-US"/>
        </w:rPr>
      </w:pPr>
      <w:r>
        <w:rPr>
          <w:rFonts w:ascii="Calibri" w:eastAsia="Calibri" w:hAnsi="Calibri" w:cs="Times New Roman"/>
          <w:sz w:val="24"/>
          <w:szCs w:val="24"/>
          <w:lang w:eastAsia="en-US"/>
        </w:rPr>
        <w:br w:type="page"/>
      </w:r>
    </w:p>
    <w:p w:rsidR="00936948" w:rsidRDefault="00936948" w:rsidP="00936948">
      <w:pPr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к Порядку принятия решений о признании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безнадежной</w:t>
      </w:r>
      <w:proofErr w:type="gramEnd"/>
    </w:p>
    <w:p w:rsidR="00936948" w:rsidRDefault="00936948" w:rsidP="00936948">
      <w:pPr>
        <w:spacing w:after="0" w:line="240" w:lineRule="auto"/>
        <w:ind w:left="5103"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 взысканию задолженности по  платежам в бюджет Пугачевского муниципального района</w:t>
      </w:r>
    </w:p>
    <w:p w:rsidR="00936948" w:rsidRDefault="00936948" w:rsidP="009369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948" w:rsidRDefault="00936948" w:rsidP="00936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УТВЕРЖДЕНО</w:t>
      </w:r>
    </w:p>
    <w:p w:rsidR="00936948" w:rsidRDefault="00936948" w:rsidP="009369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</w:t>
      </w:r>
    </w:p>
    <w:p w:rsidR="00936948" w:rsidRDefault="00936948" w:rsidP="009369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6948" w:rsidRDefault="00936948" w:rsidP="00936948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муниципального района </w:t>
      </w:r>
    </w:p>
    <w:p w:rsidR="00936948" w:rsidRDefault="00936948" w:rsidP="00936948">
      <w:pPr>
        <w:spacing w:after="0" w:line="240" w:lineRule="auto"/>
        <w:ind w:left="424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Саратовской области</w:t>
      </w:r>
    </w:p>
    <w:p w:rsidR="00936948" w:rsidRDefault="00936948" w:rsidP="009369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948" w:rsidRDefault="00936948" w:rsidP="0093694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948" w:rsidRDefault="00936948" w:rsidP="009369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№ ___</w:t>
      </w:r>
    </w:p>
    <w:p w:rsidR="00936948" w:rsidRDefault="00936948" w:rsidP="009369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948" w:rsidRDefault="00936948" w:rsidP="009369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__________________20___ г.</w:t>
      </w:r>
    </w:p>
    <w:p w:rsidR="00936948" w:rsidRDefault="00936948" w:rsidP="009369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948" w:rsidRDefault="00936948" w:rsidP="00936948">
      <w:pPr>
        <w:spacing w:after="0" w:line="240" w:lineRule="auto"/>
        <w:ind w:right="107"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признании безнадежной к взысканию задолженности по платежам</w:t>
      </w:r>
    </w:p>
    <w:p w:rsidR="00936948" w:rsidRDefault="00936948" w:rsidP="00936948">
      <w:pPr>
        <w:spacing w:after="0" w:line="240" w:lineRule="auto"/>
        <w:ind w:right="107" w:firstLine="53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бюджет Пугачевского муниципального района Саратовской области</w:t>
      </w:r>
    </w:p>
    <w:p w:rsidR="00936948" w:rsidRDefault="00936948" w:rsidP="00936948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948" w:rsidRDefault="00936948" w:rsidP="00936948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Порядком принятия решений о признании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безна-дежной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взысканию задолженности по платежам в бюджет Пугачевского муниципального района Саратовской области, утвержденным постановлением главы администрации Пугачевского муниципального района Саратовской области № ____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___________,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принятию решений о признании безнадежной к взысканию задолженности по платежам в бюджет Пугачевского муниципального района решила:</w:t>
      </w:r>
    </w:p>
    <w:p w:rsidR="00936948" w:rsidRDefault="00936948" w:rsidP="009369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1.Признать безнадежной к взысканию задолженность по платежам в бюджет  ____________________________________________________________________</w:t>
      </w:r>
    </w:p>
    <w:p w:rsidR="00936948" w:rsidRDefault="00936948" w:rsidP="00936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____________________________________________________________________</w:t>
      </w:r>
    </w:p>
    <w:p w:rsidR="00936948" w:rsidRDefault="00936948" w:rsidP="0093694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en-US"/>
        </w:rPr>
        <w:t>(полное наименование организации, ФИО физического лица)</w:t>
      </w:r>
    </w:p>
    <w:p w:rsidR="00936948" w:rsidRDefault="00936948" w:rsidP="00936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6948" w:rsidRDefault="00936948" w:rsidP="00936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ИНН _________________ОГРН __________________КПП __________________</w:t>
      </w:r>
    </w:p>
    <w:p w:rsidR="00936948" w:rsidRDefault="00936948" w:rsidP="00936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948" w:rsidRDefault="00936948" w:rsidP="00936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сумме __________ руб., в том числе:</w:t>
      </w:r>
    </w:p>
    <w:p w:rsidR="00936948" w:rsidRDefault="00936948" w:rsidP="00936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7"/>
        <w:gridCol w:w="1871"/>
        <w:gridCol w:w="2267"/>
        <w:gridCol w:w="1259"/>
        <w:gridCol w:w="846"/>
        <w:gridCol w:w="1150"/>
      </w:tblGrid>
      <w:tr w:rsidR="00936948" w:rsidTr="00936948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48" w:rsidRDefault="00936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48" w:rsidRDefault="00936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48" w:rsidRDefault="00936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48" w:rsidRDefault="00936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 том числе</w:t>
            </w:r>
          </w:p>
        </w:tc>
      </w:tr>
      <w:tr w:rsidR="00936948" w:rsidTr="00936948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48" w:rsidRDefault="009369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48" w:rsidRDefault="009369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948" w:rsidRDefault="009369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48" w:rsidRDefault="00936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Неналого-вый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48" w:rsidRDefault="00936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948" w:rsidRDefault="00936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штрафы</w:t>
            </w:r>
          </w:p>
        </w:tc>
      </w:tr>
      <w:tr w:rsidR="00936948" w:rsidTr="0093694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8" w:rsidRDefault="009369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8" w:rsidRDefault="009369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8" w:rsidRDefault="009369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8" w:rsidRDefault="00936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8" w:rsidRDefault="00936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8" w:rsidRDefault="00936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36948" w:rsidTr="0093694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8" w:rsidRDefault="009369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8" w:rsidRDefault="009369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8" w:rsidRDefault="00936948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8" w:rsidRDefault="00936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8" w:rsidRDefault="00936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8" w:rsidRDefault="00936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36948" w:rsidRDefault="00936948" w:rsidP="00936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948" w:rsidRDefault="00936948" w:rsidP="00936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948" w:rsidRDefault="00936948" w:rsidP="0093694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Подписи членов комиссии:</w:t>
      </w:r>
    </w:p>
    <w:p w:rsidR="00936948" w:rsidRDefault="00936948" w:rsidP="00936948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948" w:rsidRDefault="00936948" w:rsidP="00936948">
      <w:pPr>
        <w:spacing w:after="0" w:line="240" w:lineRule="auto"/>
        <w:ind w:left="5387"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2 к постановлению </w:t>
      </w:r>
    </w:p>
    <w:p w:rsidR="00936948" w:rsidRDefault="00936948" w:rsidP="00936948">
      <w:pPr>
        <w:spacing w:after="0" w:line="240" w:lineRule="auto"/>
        <w:ind w:left="5387"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 муниципального района</w:t>
      </w:r>
    </w:p>
    <w:p w:rsidR="00936948" w:rsidRDefault="00936948" w:rsidP="00936948">
      <w:pPr>
        <w:spacing w:after="0" w:line="240" w:lineRule="auto"/>
        <w:ind w:left="5387"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 августа 2016 года № 564</w:t>
      </w:r>
    </w:p>
    <w:p w:rsidR="00936948" w:rsidRDefault="00936948" w:rsidP="009369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948" w:rsidRDefault="00936948" w:rsidP="009369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948" w:rsidRDefault="00936948" w:rsidP="00936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Положение</w:t>
      </w:r>
    </w:p>
    <w:p w:rsidR="00936948" w:rsidRDefault="00936948" w:rsidP="00936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комиссии по рассмотрению вопросов о признании безнадежной</w:t>
      </w:r>
    </w:p>
    <w:p w:rsidR="00936948" w:rsidRDefault="00936948" w:rsidP="009369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взысканию задолженности по платежам в бюджет Пугачевского муниципального района Саратовской области</w:t>
      </w:r>
    </w:p>
    <w:p w:rsidR="00936948" w:rsidRDefault="00936948" w:rsidP="009369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948" w:rsidRDefault="00936948" w:rsidP="0093694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1.Общие положения</w:t>
      </w:r>
    </w:p>
    <w:p w:rsidR="00936948" w:rsidRDefault="00936948" w:rsidP="0093694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948" w:rsidRDefault="00936948" w:rsidP="009369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Пугачевского муниципального района Саратовской области  (далее – Комиссия).</w:t>
      </w:r>
    </w:p>
    <w:p w:rsidR="00936948" w:rsidRDefault="00936948" w:rsidP="0093694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1.2.Комиссия в своей деятельности руководствуется </w:t>
      </w:r>
      <w:hyperlink r:id="rId10" w:history="1">
        <w:r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Конституцией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Пугачевского муниципального района Саратовской области.</w:t>
      </w:r>
    </w:p>
    <w:p w:rsidR="00936948" w:rsidRDefault="00936948" w:rsidP="009369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948" w:rsidRDefault="00936948" w:rsidP="009369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2.Основные функции Комиссии</w:t>
      </w:r>
    </w:p>
    <w:p w:rsidR="00936948" w:rsidRDefault="00936948" w:rsidP="00936948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6948" w:rsidRDefault="00936948" w:rsidP="00936948">
      <w:pPr>
        <w:spacing w:after="0" w:line="240" w:lineRule="auto"/>
        <w:ind w:right="107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Основными функциями Комиссии являются:</w:t>
      </w:r>
    </w:p>
    <w:p w:rsidR="00936948" w:rsidRDefault="00936948" w:rsidP="00936948">
      <w:pPr>
        <w:widowControl w:val="0"/>
        <w:tabs>
          <w:tab w:val="left" w:pos="815"/>
        </w:tabs>
        <w:spacing w:after="0" w:line="240" w:lineRule="auto"/>
        <w:ind w:right="10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2.1.Рассмотрение,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936948" w:rsidRDefault="00936948" w:rsidP="00936948">
      <w:pPr>
        <w:widowControl w:val="0"/>
        <w:tabs>
          <w:tab w:val="left" w:pos="599"/>
        </w:tabs>
        <w:spacing w:after="0" w:line="240" w:lineRule="auto"/>
        <w:ind w:right="11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2.2.Оценка обоснованности признания безнадежной к взысканию задолженности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;</w:t>
      </w:r>
    </w:p>
    <w:p w:rsidR="00936948" w:rsidRDefault="00936948" w:rsidP="00936948">
      <w:pPr>
        <w:widowControl w:val="0"/>
        <w:tabs>
          <w:tab w:val="left" w:pos="628"/>
        </w:tabs>
        <w:spacing w:after="0" w:line="240" w:lineRule="auto"/>
        <w:ind w:right="1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2.3.Принятие одного из следующих решений по результатам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рассмот-рения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вопроса о признании задолженности безнадежной к взысканию:</w:t>
      </w:r>
    </w:p>
    <w:p w:rsidR="00936948" w:rsidRDefault="00936948" w:rsidP="00936948">
      <w:pPr>
        <w:widowControl w:val="0"/>
        <w:tabs>
          <w:tab w:val="left" w:pos="628"/>
        </w:tabs>
        <w:spacing w:after="0" w:line="240" w:lineRule="auto"/>
        <w:ind w:right="1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а) признание задолженности по платежам в местный бюджет безнадежной к взысканию;</w:t>
      </w:r>
    </w:p>
    <w:p w:rsidR="00936948" w:rsidRDefault="00936948" w:rsidP="00936948">
      <w:pPr>
        <w:widowControl w:val="0"/>
        <w:tabs>
          <w:tab w:val="left" w:pos="628"/>
        </w:tabs>
        <w:spacing w:after="0" w:line="240" w:lineRule="auto"/>
        <w:ind w:right="1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б)  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936948" w:rsidRDefault="00936948" w:rsidP="00936948">
      <w:pPr>
        <w:widowControl w:val="0"/>
        <w:tabs>
          <w:tab w:val="left" w:pos="628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36948" w:rsidRDefault="00936948" w:rsidP="00936948">
      <w:pPr>
        <w:widowControl w:val="0"/>
        <w:spacing w:after="0" w:line="240" w:lineRule="auto"/>
        <w:ind w:right="1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3.Права Комиссии</w:t>
      </w:r>
    </w:p>
    <w:p w:rsidR="00936948" w:rsidRDefault="00936948" w:rsidP="00936948">
      <w:pPr>
        <w:spacing w:after="0" w:line="240" w:lineRule="auto"/>
        <w:ind w:right="107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948" w:rsidRDefault="00936948" w:rsidP="00936948">
      <w:pPr>
        <w:spacing w:after="0" w:line="240" w:lineRule="auto"/>
        <w:ind w:right="107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 имеет право:</w:t>
      </w:r>
    </w:p>
    <w:p w:rsidR="00936948" w:rsidRDefault="00936948" w:rsidP="00936948">
      <w:pPr>
        <w:spacing w:after="0" w:line="240" w:lineRule="auto"/>
        <w:ind w:right="107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3.1.Запрашивать информацию по вопросам, относящимся к компетенции комиссии;</w:t>
      </w:r>
    </w:p>
    <w:p w:rsidR="00936948" w:rsidRDefault="00936948" w:rsidP="00936948">
      <w:pPr>
        <w:spacing w:after="0" w:line="240" w:lineRule="auto"/>
        <w:ind w:right="107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3.2.Заслушивать представителей плательщиков по вопросам,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относя-щимся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компетенции комиссии.</w:t>
      </w:r>
    </w:p>
    <w:p w:rsidR="00936948" w:rsidRDefault="00936948" w:rsidP="00936948">
      <w:pPr>
        <w:spacing w:after="0" w:line="240" w:lineRule="auto"/>
        <w:ind w:right="107"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948" w:rsidRDefault="00936948" w:rsidP="00936948">
      <w:pPr>
        <w:widowControl w:val="0"/>
        <w:spacing w:after="0" w:line="240" w:lineRule="auto"/>
        <w:ind w:right="10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4.Организация деятельности Комиссии</w:t>
      </w:r>
    </w:p>
    <w:p w:rsidR="00936948" w:rsidRDefault="00936948" w:rsidP="00936948">
      <w:pPr>
        <w:widowControl w:val="0"/>
        <w:spacing w:after="0" w:line="240" w:lineRule="auto"/>
        <w:ind w:left="720" w:right="107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36948" w:rsidRDefault="00936948" w:rsidP="00936948">
      <w:pPr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after="0" w:line="240" w:lineRule="auto"/>
        <w:ind w:right="112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4.1.Заседания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</w:r>
    </w:p>
    <w:p w:rsidR="00936948" w:rsidRDefault="00936948" w:rsidP="00936948">
      <w:pPr>
        <w:widowControl w:val="0"/>
        <w:tabs>
          <w:tab w:val="left" w:pos="659"/>
        </w:tabs>
        <w:spacing w:after="0" w:line="240" w:lineRule="auto"/>
        <w:ind w:right="11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4.2.Заседания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936948" w:rsidRDefault="00936948" w:rsidP="00936948">
      <w:pPr>
        <w:widowControl w:val="0"/>
        <w:tabs>
          <w:tab w:val="left" w:pos="637"/>
        </w:tabs>
        <w:spacing w:after="0" w:line="240" w:lineRule="auto"/>
        <w:ind w:right="11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4.3.Заседание Комиссии является правомочным, если на нем присутствует более половины членов Комиссии.</w:t>
      </w:r>
    </w:p>
    <w:p w:rsidR="00936948" w:rsidRDefault="00936948" w:rsidP="00936948">
      <w:pPr>
        <w:widowControl w:val="0"/>
        <w:tabs>
          <w:tab w:val="left" w:pos="618"/>
        </w:tabs>
        <w:spacing w:after="0" w:line="240" w:lineRule="auto"/>
        <w:ind w:right="1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4.4.Решение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936948" w:rsidRDefault="00936948" w:rsidP="00936948">
      <w:pPr>
        <w:widowControl w:val="0"/>
        <w:tabs>
          <w:tab w:val="left" w:pos="618"/>
        </w:tabs>
        <w:spacing w:after="0" w:line="240" w:lineRule="auto"/>
        <w:ind w:right="11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4.5.Решение Комиссии подписывается всеми членами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Комиссии,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присутствовавшими на ее заседании и утверждается руководителем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админи-стратора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доходов.</w:t>
      </w:r>
    </w:p>
    <w:p w:rsidR="00936948" w:rsidRDefault="00936948" w:rsidP="00936948">
      <w:pPr>
        <w:spacing w:after="0" w:line="240" w:lineRule="auto"/>
        <w:ind w:left="5387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948" w:rsidRDefault="00936948" w:rsidP="00936948">
      <w:pPr>
        <w:spacing w:after="0" w:line="240" w:lineRule="auto"/>
        <w:ind w:left="5387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6948" w:rsidRDefault="00936948" w:rsidP="009369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936948" w:rsidRDefault="00936948" w:rsidP="00936948">
      <w:pPr>
        <w:spacing w:after="0" w:line="240" w:lineRule="auto"/>
        <w:ind w:left="5387"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3 к постановлению </w:t>
      </w:r>
    </w:p>
    <w:p w:rsidR="00936948" w:rsidRDefault="00936948" w:rsidP="00936948">
      <w:pPr>
        <w:spacing w:after="0" w:line="240" w:lineRule="auto"/>
        <w:ind w:left="5387"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Пугачевского муниципального района</w:t>
      </w:r>
    </w:p>
    <w:p w:rsidR="00936948" w:rsidRDefault="00936948" w:rsidP="00936948">
      <w:pPr>
        <w:spacing w:after="0" w:line="240" w:lineRule="auto"/>
        <w:ind w:left="5387" w:right="-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1 августа 2016 года № 564</w:t>
      </w:r>
    </w:p>
    <w:p w:rsidR="00936948" w:rsidRDefault="00936948" w:rsidP="009369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948" w:rsidRDefault="00936948" w:rsidP="00936948">
      <w:pPr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after="0" w:line="240" w:lineRule="auto"/>
        <w:ind w:right="11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948" w:rsidRDefault="00936948" w:rsidP="00936948">
      <w:pPr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after="0" w:line="240" w:lineRule="auto"/>
        <w:ind w:right="11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</w:t>
      </w:r>
    </w:p>
    <w:p w:rsidR="00936948" w:rsidRDefault="00936948" w:rsidP="00936948">
      <w:pPr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after="0" w:line="240" w:lineRule="auto"/>
        <w:ind w:left="720" w:right="11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комиссии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рассмотрению вопросов о признании безнадежной к взысканию задолженности по платежам в бюджет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Пугачевского муниципального района Саратовской области</w:t>
      </w:r>
    </w:p>
    <w:p w:rsidR="00936948" w:rsidRDefault="00936948" w:rsidP="00936948">
      <w:pPr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after="0" w:line="240" w:lineRule="auto"/>
        <w:ind w:right="11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36948" w:rsidRDefault="00936948" w:rsidP="00936948">
      <w:pPr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after="0" w:line="240" w:lineRule="auto"/>
        <w:ind w:right="112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7088"/>
      </w:tblGrid>
      <w:tr w:rsidR="00936948" w:rsidTr="00936948">
        <w:tc>
          <w:tcPr>
            <w:tcW w:w="2518" w:type="dxa"/>
            <w:hideMark/>
          </w:tcPr>
          <w:p w:rsidR="00936948" w:rsidRDefault="00936948">
            <w:pPr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С.А.</w:t>
            </w:r>
          </w:p>
        </w:tc>
        <w:tc>
          <w:tcPr>
            <w:tcW w:w="425" w:type="dxa"/>
            <w:hideMark/>
          </w:tcPr>
          <w:p w:rsidR="00936948" w:rsidRDefault="00936948">
            <w:pPr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936948" w:rsidRDefault="00936948">
            <w:pPr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Пугачевского муниципального района, председатель комиссии;</w:t>
            </w:r>
          </w:p>
          <w:p w:rsidR="00936948" w:rsidRDefault="00936948">
            <w:pPr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948" w:rsidTr="00936948">
        <w:tc>
          <w:tcPr>
            <w:tcW w:w="2518" w:type="dxa"/>
            <w:hideMark/>
          </w:tcPr>
          <w:p w:rsidR="00936948" w:rsidRDefault="00936948">
            <w:pPr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С.Ю.</w:t>
            </w:r>
          </w:p>
        </w:tc>
        <w:tc>
          <w:tcPr>
            <w:tcW w:w="425" w:type="dxa"/>
            <w:hideMark/>
          </w:tcPr>
          <w:p w:rsidR="00936948" w:rsidRDefault="00936948">
            <w:pPr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</w:tcPr>
          <w:p w:rsidR="00936948" w:rsidRDefault="00936948">
            <w:pPr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 главы администрации Пугачевского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промышленности,  торговле и экономическому развитию, заместитель председателя комиссии; </w:t>
            </w:r>
          </w:p>
          <w:p w:rsidR="00936948" w:rsidRDefault="00936948">
            <w:pPr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948" w:rsidTr="00936948">
        <w:tc>
          <w:tcPr>
            <w:tcW w:w="2518" w:type="dxa"/>
            <w:hideMark/>
          </w:tcPr>
          <w:p w:rsidR="00936948" w:rsidRDefault="00936948">
            <w:pPr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Пономарева О.А.</w:t>
            </w:r>
          </w:p>
        </w:tc>
        <w:tc>
          <w:tcPr>
            <w:tcW w:w="425" w:type="dxa"/>
            <w:hideMark/>
          </w:tcPr>
          <w:p w:rsidR="00936948" w:rsidRDefault="0093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8" w:type="dxa"/>
            <w:hideMark/>
          </w:tcPr>
          <w:p w:rsidR="00936948" w:rsidRDefault="0093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по управлению муниципальным имуществом администрации Пугачевского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секретарь комиссии.</w:t>
            </w:r>
          </w:p>
        </w:tc>
      </w:tr>
    </w:tbl>
    <w:p w:rsidR="00936948" w:rsidRDefault="00936948" w:rsidP="00936948">
      <w:pPr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after="0" w:line="240" w:lineRule="auto"/>
        <w:ind w:right="1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6948" w:rsidRDefault="00936948" w:rsidP="00936948">
      <w:pPr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after="0" w:line="240" w:lineRule="auto"/>
        <w:ind w:right="1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Члены комиссии:</w:t>
      </w:r>
    </w:p>
    <w:p w:rsidR="00936948" w:rsidRDefault="00936948" w:rsidP="00936948">
      <w:pPr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after="0" w:line="240" w:lineRule="auto"/>
        <w:ind w:right="112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425"/>
        <w:gridCol w:w="6911"/>
      </w:tblGrid>
      <w:tr w:rsidR="00936948" w:rsidTr="00936948">
        <w:tc>
          <w:tcPr>
            <w:tcW w:w="2518" w:type="dxa"/>
            <w:hideMark/>
          </w:tcPr>
          <w:p w:rsidR="00936948" w:rsidRDefault="00936948">
            <w:pPr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425" w:type="dxa"/>
            <w:hideMark/>
          </w:tcPr>
          <w:p w:rsidR="00936948" w:rsidRDefault="0093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936948" w:rsidRDefault="0093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Пугачевского муниципального района;</w:t>
            </w:r>
          </w:p>
          <w:p w:rsidR="00936948" w:rsidRDefault="0093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948" w:rsidTr="00936948">
        <w:tc>
          <w:tcPr>
            <w:tcW w:w="2518" w:type="dxa"/>
            <w:hideMark/>
          </w:tcPr>
          <w:p w:rsidR="00936948" w:rsidRDefault="0093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Водолазова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425" w:type="dxa"/>
            <w:hideMark/>
          </w:tcPr>
          <w:p w:rsidR="00936948" w:rsidRDefault="0093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936948" w:rsidRDefault="00936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управления администрации Пугачевского муниципального района;</w:t>
            </w:r>
          </w:p>
          <w:p w:rsidR="00936948" w:rsidRDefault="00936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948" w:rsidTr="00936948">
        <w:trPr>
          <w:trHeight w:val="824"/>
        </w:trPr>
        <w:tc>
          <w:tcPr>
            <w:tcW w:w="2518" w:type="dxa"/>
            <w:hideMark/>
          </w:tcPr>
          <w:p w:rsidR="00936948" w:rsidRDefault="00936948">
            <w:pPr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Н.Н.</w:t>
            </w:r>
          </w:p>
        </w:tc>
        <w:tc>
          <w:tcPr>
            <w:tcW w:w="425" w:type="dxa"/>
            <w:hideMark/>
          </w:tcPr>
          <w:p w:rsidR="00936948" w:rsidRDefault="00936948">
            <w:pPr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</w:tcPr>
          <w:p w:rsidR="00936948" w:rsidRDefault="00936948">
            <w:pPr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управлению муниципальным имуществом администрации Пугачевского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936948" w:rsidRDefault="00936948">
            <w:pPr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948" w:rsidTr="00936948">
        <w:trPr>
          <w:trHeight w:val="824"/>
        </w:trPr>
        <w:tc>
          <w:tcPr>
            <w:tcW w:w="2518" w:type="dxa"/>
            <w:hideMark/>
          </w:tcPr>
          <w:p w:rsidR="00936948" w:rsidRDefault="00936948">
            <w:pPr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Шварц К.В.</w:t>
            </w:r>
          </w:p>
        </w:tc>
        <w:tc>
          <w:tcPr>
            <w:tcW w:w="425" w:type="dxa"/>
            <w:hideMark/>
          </w:tcPr>
          <w:p w:rsidR="00936948" w:rsidRDefault="00936948">
            <w:pPr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11" w:type="dxa"/>
            <w:hideMark/>
          </w:tcPr>
          <w:p w:rsidR="00936948" w:rsidRDefault="00936948">
            <w:pPr>
              <w:tabs>
                <w:tab w:val="left" w:pos="975"/>
                <w:tab w:val="left" w:pos="1908"/>
                <w:tab w:val="left" w:pos="2284"/>
                <w:tab w:val="left" w:pos="3198"/>
                <w:tab w:val="left" w:pos="4807"/>
                <w:tab w:val="left" w:pos="6215"/>
                <w:tab w:val="left" w:pos="7641"/>
                <w:tab w:val="left" w:pos="9205"/>
              </w:tabs>
              <w:ind w:right="11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экономического развития,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промыш-ленности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 администрации Пугачевского муниципального района.</w:t>
            </w:r>
          </w:p>
        </w:tc>
      </w:tr>
    </w:tbl>
    <w:p w:rsidR="00420CB5" w:rsidRDefault="00420CB5"/>
    <w:sectPr w:rsidR="00420CB5" w:rsidSect="0093694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6948"/>
    <w:rsid w:val="000C0A85"/>
    <w:rsid w:val="00375D56"/>
    <w:rsid w:val="00420CB5"/>
    <w:rsid w:val="00936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9369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9369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244AA1011F1F57412ABDB412A9878EDC844B45A8BC7731F25A54B8029D66E9859D4B197D0EEF5Q1E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8BCC7E2631FCEECFA70F1748D3C2FFA6F5DB226A6491BAA44AFED90BxEV9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8BCC7E2631FCEECFA70F1748D3C2FFA6F5DB22636291BAA44AFED90BE9634CD9743731C8E8DA38x1VA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38BCC7E2631FCEECFA70F1748D3C2FFA6F5DB22636291BAA44AFED90BE9634CD9743731C8E8DA38x1VBK" TargetMode="External"/><Relationship Id="rId10" Type="http://schemas.openxmlformats.org/officeDocument/2006/relationships/hyperlink" Target="http://www.bestpravo.ru/federalnoje/gn-pravila/d6a.htm" TargetMode="External"/><Relationship Id="rId4" Type="http://schemas.openxmlformats.org/officeDocument/2006/relationships/hyperlink" Target="consultantplus://offline/ref=D38BCC7E2631FCEECFA70F1748D3C2FFA6F5DD21616391BAA44AFED90BxEV9K" TargetMode="External"/><Relationship Id="rId9" Type="http://schemas.openxmlformats.org/officeDocument/2006/relationships/hyperlink" Target="consultantplus://offline/ref=F6F244AA1011F1F57412ABDB412A9878EDC844B45A8BC7731F25A54B8029D66E9859D4B197D0EEF5Q1E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2284</Words>
  <Characters>13020</Characters>
  <Application>Microsoft Office Word</Application>
  <DocSecurity>0</DocSecurity>
  <Lines>108</Lines>
  <Paragraphs>30</Paragraphs>
  <ScaleCrop>false</ScaleCrop>
  <Company/>
  <LinksUpToDate>false</LinksUpToDate>
  <CharactersWithSpaces>15274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АПМР</cp:lastModifiedBy>
  <cp:revision>4</cp:revision>
  <dcterms:created xsi:type="dcterms:W3CDTF">2016-08-16T06:41:00Z</dcterms:created>
  <dcterms:modified xsi:type="dcterms:W3CDTF">2016-08-16T06:06:00Z</dcterms:modified>
</cp:coreProperties>
</file>