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C" w:rsidRDefault="00AB337C" w:rsidP="00AB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AB337C" w:rsidRDefault="00AB337C" w:rsidP="00AB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AB3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BFC">
        <w:rPr>
          <w:rFonts w:ascii="Times New Roman" w:hAnsi="Times New Roman" w:cs="Times New Roman"/>
          <w:sz w:val="28"/>
          <w:szCs w:val="28"/>
        </w:rPr>
        <w:t>от 20 ноября 2017 года № 1112</w:t>
      </w: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403B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системы коммунальной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системы коммунальной инфраструктуры муниципального образования города Пугачева Саратовской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03BF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4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403B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до 2030 года».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</w:t>
      </w:r>
      <w:proofErr w:type="gramStart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>коммунальному</w:t>
      </w:r>
      <w:proofErr w:type="gramEnd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>хозяй-ству</w:t>
      </w:r>
      <w:proofErr w:type="spellEnd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градостроительству.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М.В.Садчиков</w:t>
      </w: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7C" w:rsidRPr="00403BFC" w:rsidRDefault="00AB337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 ноября 2017 года № 1112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«Комплексное развитие </w:t>
      </w:r>
      <w:proofErr w:type="gram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371"/>
      </w:tblGrid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коммунальной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инфра-структуры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эксплуата-ционного состояния коммунальной инфраструктуры муниципального образования города Пугачева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строительство и реконструкция объектов коммунальной инфраструктуры муниципального образования города Пугачева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филиал ГУП СО «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Облводоресурс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»-«Пугачевский»,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фи-лиал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«Газпром газораспределение Саратовская область» в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угачеве, филиал «Пугачевские городские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электри-ческие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сети» ОАО «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Облкоммунэнерго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03BFC" w:rsidRPr="00403BFC" w:rsidTr="006D07A8">
        <w:trPr>
          <w:trHeight w:val="616"/>
        </w:trPr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</w:tr>
      <w:tr w:rsidR="00403BFC" w:rsidRPr="00403BFC" w:rsidTr="006D07A8">
        <w:trPr>
          <w:trHeight w:val="616"/>
        </w:trPr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программы до 2030 года составляет всего 1379,41 млн. руб., в том числе: </w:t>
            </w:r>
          </w:p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 всего - 715,26 млн. руб., в том числе областной бюджет – 714,544 млн. руб., местный бюджет – 0,716 млн. руб.;</w:t>
            </w:r>
            <w:proofErr w:type="gramEnd"/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664,15 млн. руб., в том числе областной бюджет – 663,485 млн. руб., местный бюджет – 0,665 млн. руб.</w:t>
            </w:r>
            <w:proofErr w:type="gramEnd"/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объектов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коммунальной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инфраструкутры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соответ-ствие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эксплуатационного регламента</w:t>
            </w: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1.Характеристика сферы реализации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программы, описание основных проблем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обоснование необходимости ее решения 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 Объекты водоснабжения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водопроводных сетей города Пугачева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»-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«Пугачевский»</w:t>
      </w:r>
      <w:r w:rsidRPr="00403B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smartTag w:uri="urn:schemas-microsoft-com:office:smarttags" w:element="metricconverter">
        <w:smartTagPr>
          <w:attr w:name="ProductID" w:val="102,627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102,627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402"/>
      </w:tblGrid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Д100-Д300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43,832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сталь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Д57-Д530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25,486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ПНД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Д40-Д315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33,309</w:t>
            </w:r>
          </w:p>
        </w:tc>
      </w:tr>
    </w:tbl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износ водопроводных сетей,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»-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«Пугачевский» составляет – 67,9 %. Протяженность сетей ХПВ нуждающихся в замене составляет </w:t>
      </w:r>
      <w:smartTag w:uri="urn:schemas-microsoft-com:office:smarttags" w:element="metricconverter">
        <w:smartTagPr>
          <w:attr w:name="ProductID" w:val="69,718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69,718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402"/>
      </w:tblGrid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чугун, сталь, ПНД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Д57-Д250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47,418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чугун, сталь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Д250-Д530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22,300</w:t>
            </w:r>
          </w:p>
        </w:tc>
      </w:tr>
    </w:tbl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профилактики возникновения аварий и утечек на сетях водопровода и для уменьшения объемов потерь должна проводиться своевременная замена запорно-регулирующей арматуры и водопроводных сетей с истекшим эксплуатационным ресурсом. Чугунные и стальные трубопроводы должны заменяться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полиэтиленовые.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 настоящее время основной проблемой в водоснабжении города является значительный износ сетей водоснабжения. Недостаточная оснащенность потребителей приборами учета холодной воды. </w:t>
      </w:r>
      <w:proofErr w:type="spell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Общедомовые</w:t>
      </w:r>
      <w:proofErr w:type="spell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приборы учёта позволяют точно определить потери воды при расчётах с </w:t>
      </w:r>
      <w:proofErr w:type="spell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ресурсоснабжающими</w:t>
      </w:r>
      <w:proofErr w:type="spell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Для надежного и качественного регулирования водоснабжения в городе требуется осуществить реконструкцию водозаборных и водоочистных сооружений с уменьшением производительности насосных агрегатов.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1.2.Объекты водоотведения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канализационных сетей города Пугачева,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»-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«Пугачевский»,</w:t>
      </w:r>
      <w:r w:rsidRPr="00403B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smartTag w:uri="urn:schemas-microsoft-com:office:smarttags" w:element="metricconverter">
        <w:smartTagPr>
          <w:attr w:name="ProductID" w:val="45,87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45,879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Из них напорная канализация составляет </w:t>
      </w:r>
      <w:smartTag w:uri="urn:schemas-microsoft-com:office:smarttags" w:element="metricconverter">
        <w:smartTagPr>
          <w:attr w:name="ProductID" w:val="7,4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7,4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безнапорная – </w:t>
      </w:r>
      <w:smartTag w:uri="urn:schemas-microsoft-com:office:smarttags" w:element="metricconverter">
        <w:smartTagPr>
          <w:attr w:name="ProductID" w:val="38,47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38,479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260"/>
      </w:tblGrid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ПНД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Д225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3540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Д400-Д1000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32965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Д150-Д400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9374</w:t>
            </w:r>
          </w:p>
        </w:tc>
      </w:tr>
    </w:tbl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Износ канализационных сетей составляет 92,28 %.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проложены из полиэтиленовых, железобетонных, чугунных труб диаметром 100 – </w:t>
      </w:r>
      <w:smartTag w:uri="urn:schemas-microsoft-com:office:smarttags" w:element="metricconverter">
        <w:smartTagPr>
          <w:attr w:name="ProductID" w:val="1000 м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1000 мм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имеют неудовлетворительное состояние.</w:t>
      </w:r>
    </w:p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канализационных сетей нуждающихся в замене составляет </w:t>
      </w:r>
      <w:smartTag w:uri="urn:schemas-microsoft-com:office:smarttags" w:element="metricconverter">
        <w:smartTagPr>
          <w:attr w:name="ProductID" w:val="42,33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42,339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260"/>
      </w:tblGrid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Д400-Д1000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32965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Д150-Д400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9374</w:t>
            </w:r>
          </w:p>
        </w:tc>
      </w:tr>
    </w:tbl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города Пугачева обеспеченность канализацией составляет </w:t>
      </w:r>
      <w:r w:rsidRPr="00403BFC">
        <w:rPr>
          <w:rFonts w:ascii="Times New Roman" w:eastAsia="Calibri" w:hAnsi="Times New Roman" w:cs="Times New Roman"/>
          <w:sz w:val="28"/>
          <w:lang w:eastAsia="en-US"/>
        </w:rPr>
        <w:t xml:space="preserve">74% охвата 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>общей площади жилищного фонда, в том числе централизованной – 53,5%, накопитель сточных вод – 20,5%, дворовые туалеты – 26%.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технологической зоне 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централизованной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водоотведения канализационные стоки транспортируются на канализационные очистные сооружения.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технологической зоне не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централизованной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водоотведения канализационные стоки сливаются в выгребные ямы для накопления и хранения и откачиваются по мере заполнения с помощью ассенизационных машин,  затем вывозятся на сливную станцию и транспортируются на канализационные очистные сооружения.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1.3.Объекты газоснабжения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газоснабжения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природный газ, который подается в муниципальное образование от магистрального газопровода Мокроус – Тольятти на ГРС Пугачев расположенной северо-западнее г. Пугачева. От ГРС газ по газораспределительным сетям подается на газорегуляторные пункты (ГРП, ГРПШ) населенных пунктов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 В газорегуляторных пунктах давление газа снижается до 0,3 МПа для газификации котельных и промпредприятий. На индивидуально-бытовые, хозяйственные нужды и местное отопление давление газа снижается до 0,005 МПа.</w:t>
      </w: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Существующая система газоснабжения трех и двухступенчатая. Распределение газа осуществляется по газопроводам трех давлений</w:t>
      </w:r>
      <w:bookmarkStart w:id="0" w:name="OLE_LINK6"/>
      <w:bookmarkStart w:id="1" w:name="OLE_LINK5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</w:t>
      </w:r>
      <w:bookmarkEnd w:id="0"/>
      <w:bookmarkEnd w:id="1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высокого II категории — 0,6 МПа, среднего — 0,3 МПа, низкого — 0,005 МПа.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1.4.Объекты электроснабжения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Электроснабжение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осуществ-ляется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подстанции 110/35/6 кВ «Пугачевская», ПС 110/10 «Городская», ПС 110/10 «Арматурная-2»,  ПС 110/6 «Арматурная-1» по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ВЛ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110кВ. На территории муниципального образования города Пугачева расположены 7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электро-подстанций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приведены в таблицах:</w:t>
      </w:r>
    </w:p>
    <w:p w:rsidR="00403BFC" w:rsidRPr="00403BFC" w:rsidRDefault="00403BFC" w:rsidP="00403BF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электроподстанций</w:t>
      </w:r>
      <w:proofErr w:type="spell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Северного производственного отделения филиала «Саратовские распределительные сети </w:t>
      </w:r>
      <w:r w:rsidRPr="00403B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ОАО</w:t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«МРСК Волги»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126"/>
        <w:gridCol w:w="1276"/>
        <w:gridCol w:w="992"/>
        <w:gridCol w:w="992"/>
        <w:gridCol w:w="992"/>
        <w:gridCol w:w="2410"/>
        <w:gridCol w:w="709"/>
      </w:tblGrid>
      <w:tr w:rsidR="00403BFC" w:rsidRPr="00403BFC" w:rsidTr="006D07A8">
        <w:trPr>
          <w:cantSplit/>
          <w:trHeight w:val="2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Напря-жение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мощность,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трансфо-рматоров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Местонахождение, 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износа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«Пугачевская»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110/35/6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1978,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«Арматурная-1»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1982,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«Арматурная-2»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«Очистные сооружения»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«Иргиз-1»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«Иргиз-2»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</w:tbl>
    <w:p w:rsidR="00403BFC" w:rsidRPr="00403BFC" w:rsidRDefault="00403BFC" w:rsidP="00403BFC">
      <w:pPr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процент износа подстанций,  принадлежащих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МРСК-Волги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»–42 %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  <w:proofErr w:type="gram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ведомственных</w:t>
      </w:r>
      <w:proofErr w:type="gram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электроподстанций</w:t>
      </w:r>
      <w:proofErr w:type="spellEnd"/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 город Пугачева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215" w:type="dxa"/>
        <w:tblLayout w:type="fixed"/>
        <w:tblLook w:val="0000"/>
      </w:tblPr>
      <w:tblGrid>
        <w:gridCol w:w="851"/>
        <w:gridCol w:w="2409"/>
        <w:gridCol w:w="1985"/>
        <w:gridCol w:w="4571"/>
      </w:tblGrid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Напряжение, кВ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Местонахождение,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«Городская»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</w:tr>
    </w:tbl>
    <w:p w:rsidR="00403BFC" w:rsidRPr="00403BFC" w:rsidRDefault="00403BFC" w:rsidP="00403BFC">
      <w:pPr>
        <w:tabs>
          <w:tab w:val="left" w:pos="709"/>
        </w:tabs>
        <w:spacing w:after="0" w:line="288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403BFC" w:rsidRPr="00403BFC" w:rsidRDefault="00403BFC" w:rsidP="00403BFC">
      <w:pPr>
        <w:tabs>
          <w:tab w:val="left" w:pos="709"/>
        </w:tabs>
        <w:spacing w:after="0" w:line="288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Перечень ВЛ-6 кВ</w:t>
      </w:r>
    </w:p>
    <w:p w:rsidR="00403BFC" w:rsidRPr="00403BFC" w:rsidRDefault="00403BFC" w:rsidP="00403BFC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филиала «Пугачевские городские электрические сети» ОАО «</w:t>
      </w:r>
      <w:proofErr w:type="spellStart"/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Облкоммунэнерго</w:t>
      </w:r>
      <w:proofErr w:type="spellEnd"/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 xml:space="preserve">» </w:t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403BFC" w:rsidRPr="00403BFC" w:rsidRDefault="00403BFC" w:rsidP="00403BFC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30"/>
        <w:gridCol w:w="850"/>
        <w:gridCol w:w="1276"/>
        <w:gridCol w:w="850"/>
        <w:gridCol w:w="2127"/>
        <w:gridCol w:w="708"/>
        <w:gridCol w:w="851"/>
      </w:tblGrid>
      <w:tr w:rsidR="00403BFC" w:rsidRPr="00403BFC" w:rsidTr="006D07A8">
        <w:trPr>
          <w:cantSplit/>
          <w:trHeight w:val="2556"/>
        </w:trPr>
        <w:tc>
          <w:tcPr>
            <w:tcW w:w="53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и наименование высоковольтной линии</w:t>
            </w:r>
          </w:p>
        </w:tc>
        <w:tc>
          <w:tcPr>
            <w:tcW w:w="850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Напряжение, кВ</w:t>
            </w:r>
          </w:p>
        </w:tc>
        <w:tc>
          <w:tcPr>
            <w:tcW w:w="1276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Протяженность,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0.4 кВ (по территории района), км</w:t>
            </w:r>
          </w:p>
        </w:tc>
        <w:tc>
          <w:tcPr>
            <w:tcW w:w="850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эксплуатацию</w:t>
            </w:r>
          </w:p>
        </w:tc>
        <w:tc>
          <w:tcPr>
            <w:tcW w:w="212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опор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марка провода</w:t>
            </w:r>
          </w:p>
        </w:tc>
        <w:tc>
          <w:tcPr>
            <w:tcW w:w="708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износа</w:t>
            </w:r>
          </w:p>
        </w:tc>
        <w:tc>
          <w:tcPr>
            <w:tcW w:w="851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охранной</w:t>
            </w:r>
            <w:proofErr w:type="gramEnd"/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зоны,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403BFC" w:rsidRPr="00403BFC" w:rsidTr="006D07A8">
        <w:tc>
          <w:tcPr>
            <w:tcW w:w="53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0603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11,32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0606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tabs>
                <w:tab w:val="left" w:pos="187"/>
                <w:tab w:val="center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6,3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0607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0608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2,24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610А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1,47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610Б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616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617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619А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619Б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619В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620 от ПС «Пугачевская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1001А от ПС «Арматурная 1»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1001Б от ПС «Арматурная 1»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0601 от ПС «Арматурная 2»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87,79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2.1.Объекты водоснабжения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Задачей схемы водоснабжения является комплексное решение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вопросов водоснабжения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учетом всех существующих, а также новых объектов промышленного и жилищного строительства.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Цели водоснабжения: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обеспечение развития систем централизованного водоснабжения в соответствии с планируемым строительством жилищного фонда, а также объектов социально-культурного и рекреационного назначения в период до 2030 года;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улучшение работы систем водоснабжения;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повышение качества питьевой воды, поступающей к потребителям;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надежного централизованного и экологически безопасного водоснабжения в соответствии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экологическим нормативам;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снижение вредного воздействия на окружающую среду.</w:t>
      </w:r>
    </w:p>
    <w:p w:rsidR="00403BFC" w:rsidRPr="00403BFC" w:rsidRDefault="00403BFC" w:rsidP="00403BF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: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повышение качества предоставления коммунальных услуг;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снижение уровня износа объектов водоснабжения;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улучшение экологической ситуации на территории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муниципального образования города Пугачева;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создание благоприятных условий для привлечения внебюджетных средств с целью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 проектов модернизации объектов водоснабжения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сетями водоснабжения земельных участков, определенных для вновь строящегося жилищного фонда и объектов производственного,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рекреацион-ного</w:t>
      </w:r>
      <w:proofErr w:type="spellEnd"/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социально-культурного назначения;</w:t>
      </w:r>
    </w:p>
    <w:p w:rsidR="00403BFC" w:rsidRPr="00403BFC" w:rsidRDefault="00403BFC" w:rsidP="00403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урегулирование мощности системы водоснабжения.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3BFC" w:rsidRPr="00403BFC" w:rsidRDefault="00403BFC" w:rsidP="00403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2.2.Объекты водоотведения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Задачи водоотведения: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задачей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является комплексное решение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вопросов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учетом всех существующих, а также новых объектов промышленного и жилищного строительства.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Цели водоотведения: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развития систем централизованного водоотведения в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соответ-ствии</w:t>
      </w:r>
      <w:proofErr w:type="spellEnd"/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планируемым строительством жилищного фонда, а также объектов социально-культурного и рекреационного назначения в период до 2030 года;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улучшение работы систем водоотведения;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lastRenderedPageBreak/>
        <w:t xml:space="preserve">повышение качества очистки канализационных стоков, поступающей от потребителей;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надежного централизованного и экологически безопасного водоотведения в соответствии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экологическим нормативам;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снижение вредного воздействия на окружающую среду.</w:t>
      </w:r>
    </w:p>
    <w:p w:rsidR="00403BFC" w:rsidRPr="00403BFC" w:rsidRDefault="00403BFC" w:rsidP="00403BF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:</w:t>
      </w:r>
    </w:p>
    <w:p w:rsidR="00403BFC" w:rsidRPr="00403BFC" w:rsidRDefault="00403BFC" w:rsidP="00403B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предоставления коммунальных услуг;</w:t>
      </w:r>
    </w:p>
    <w:p w:rsidR="00403BFC" w:rsidRPr="00403BFC" w:rsidRDefault="00403BFC" w:rsidP="00403B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уровня износа объектов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улучшение экологической ситуации на территории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муниципального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образо-вания</w:t>
      </w:r>
      <w:proofErr w:type="spellEnd"/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города Пугачева;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создание благоприятных условий для привлечения внебюджетных средств с целью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финансирования проектов модернизации объектов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сетями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водоотведения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земельных участков, определенных для вновь строящегося жилищного фонда и объектов производственного,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рекреацион-ного</w:t>
      </w:r>
      <w:proofErr w:type="spellEnd"/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социально-культурного назначения;</w:t>
      </w:r>
    </w:p>
    <w:p w:rsidR="00403BFC" w:rsidRPr="00403BFC" w:rsidRDefault="00403BFC" w:rsidP="00403BFC">
      <w:pPr>
        <w:spacing w:after="0" w:line="240" w:lineRule="auto"/>
        <w:ind w:left="720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урегулирование мощности системы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2.3.Объекты газоснабжения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Цели и задачи: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наращивание темпов газификации, расширение газовых сетей и систем газораспределения, обеспечивающих увеличение поставок природного газа;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строительство и реконструкция газораспределительных сетей;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повышение надежности и безопасности газоснабжения.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Развитие города Пугачева предусматривает организацию 5 новых площадок.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Площадка № 1. Для газоснабжения жилой 5-ти этажной застройки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предла-гается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ГРПШ, запитанного от существующего подземного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</w:rPr>
        <w:t>газо-провода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давления. От проектируемого ГРПШ газопроводами низкого давления осуществить газоснабжение проектируемой жилой 5-ти этажной застройки  и котельной детского сада ясли на 120 мест.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2. Для газоснабжения жилой индивидуальной застройки предлагается строительство ГРПШ, запитанного от существующего подземного  газопровода высокого давления. От проектируемого ГРПШ газопроводами низкого давления осуществить газоснабжение проектируемой жилой застройки (222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дома), магазина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фитнес - клуба (700м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3. От существующего ГРПШ газопроводами низкого давления осуществить газоснабжение проектируемой жилой индивидуальной застройки  (89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дома), магазина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салона красоты, магазина специализированного.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4. Для газоснабжения жилой индивидуальной застройки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пред-лагается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строительство ГРПШ, запитанного от существующего подземного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газо-провода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высокого давления. От проектируемого ГРПШ газопроводами низкого давления осуществить газоснабжение проектируемой индивидуальной застройки (199 индивидуальных жилых дома), котельной детского сада на 120 мест,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мага-зина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отделения связи, предприятия бытового обслуживания населения, кафе на 90 мест.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Площадка № 5. От существующего ГРПШ по ул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.Ж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елезнодорожной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газо-проводами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низкого давления осуществить газоснабжение проектируемой жилой индивидуальной застройки (54 индивидуальных жилых дома).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В пос</w:t>
      </w:r>
      <w:proofErr w:type="gramStart"/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.П</w:t>
      </w:r>
      <w:proofErr w:type="gramEnd"/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угачевский: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газоснабжение проектируемой жилой застройки (58 индивидуальных домов)  и котельной для бани на 50 пос. предлагается от проектируемого ГРПШ, запитанного от существующего газопровода высокого давления;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проектируемой жилой застройке пос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угачевского будет газифицировано 58 квартир, 1 котельная. Годовой расход природного газа составит 513885 </w:t>
      </w:r>
      <w:r w:rsidRPr="00403B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³, в том числе: население - </w:t>
      </w:r>
      <w:smartTag w:uri="urn:schemas-microsoft-com:office:smarttags" w:element="metricconverter">
        <w:smartTagPr>
          <w:attr w:name="ProductID" w:val="494518 м³"/>
        </w:smartTagPr>
        <w:r w:rsidRPr="00403BFC">
          <w:rPr>
            <w:rFonts w:ascii="Times New Roman" w:eastAsia="Times New Roman" w:hAnsi="Times New Roman" w:cs="Arial CYR"/>
            <w:sz w:val="28"/>
            <w:szCs w:val="28"/>
            <w:lang w:eastAsia="ar-SA"/>
          </w:rPr>
          <w:t xml:space="preserve">494518 </w:t>
        </w:r>
        <w:r w:rsidRPr="00403BFC">
          <w:rPr>
            <w:rFonts w:ascii="Times New Roman" w:eastAsia="Times New Roman" w:hAnsi="Times New Roman" w:cs="Arial"/>
            <w:bCs/>
            <w:sz w:val="28"/>
            <w:szCs w:val="28"/>
            <w:lang w:eastAsia="ar-SA"/>
          </w:rPr>
          <w:t>м</w:t>
        </w:r>
        <w:r w:rsidRPr="00403BFC">
          <w:rPr>
            <w:rFonts w:ascii="Times New Roman" w:eastAsia="Times New Roman" w:hAnsi="Times New Roman" w:cs="Arial CYR"/>
            <w:sz w:val="28"/>
            <w:szCs w:val="28"/>
            <w:lang w:eastAsia="ar-SA"/>
          </w:rPr>
          <w:t>³</w:t>
        </w:r>
      </w:smartTag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, котельная - 19367</w:t>
      </w:r>
      <w:r w:rsidRPr="00403B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³. 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газа на индивидуально-бытовые нужды населения определены в соответствии с требованием СП 42-101-2003 «Общие положения по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проекти-рованию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строительству газораспределительных систем из металлических и полиэтиленовых труб». Годовые расходы газа определены исходя из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отапли-ваемой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кубатуры жилых и общественных зданий.</w:t>
      </w: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развития системы газоснабжения предусматривают: строительство ГРПШ, строительство газопроводов высокого,  низкого давлений.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2.4.Объекты электроснабжения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гарантированного электроснабжения муниципального образования города Пугачева необходимо: 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1.Реконструировать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электросетевые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комплексы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ВЛ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6-10 кВ. На ВЛ - 0,4 кВ применить изолированный провод (СИП).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2.Произвести капитальный ремонт или заменить силовые трансформаторы 10/0,4 кВ, эксплуатирующихся более 30 лет, с износом 60 %, и более.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3.Больницы, центральные котельные, скважины водозабора, должны обеспечиваться электроэнергией от двух независимых источников питания. Вторым источником питания может быть дизельные электростанции или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резерв-ные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линии 0,4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питающиеся от других источников питания.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4.Электроснабжение детских садов, школ, рекомендуется обеспечивать от двух независимых источников питания.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5.Закольцевать фидер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ВЛ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6-10 кВ.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1379,41 млн. руб., в том числе: </w:t>
      </w: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- 715,26 млн. руб., в том числе областной бюджет –    714,544 млн. руб., местный бюджет – 0,716 млн. руб.;</w:t>
      </w:r>
      <w:proofErr w:type="gramEnd"/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664,15 млн. руб., в том числе областной бюджет –    663,485 млн. руб., местный бюджет – 0,665 млн. руб</w:t>
      </w:r>
      <w:r w:rsidRPr="00403BF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приложениях № 1, № 2, № 3, № 4 к программе.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sectPr w:rsidR="00403BFC" w:rsidRPr="00403BFC" w:rsidSect="0041626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7797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водоснабжения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67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73"/>
        <w:gridCol w:w="1377"/>
        <w:gridCol w:w="1175"/>
        <w:gridCol w:w="992"/>
        <w:gridCol w:w="992"/>
        <w:gridCol w:w="2490"/>
      </w:tblGrid>
      <w:tr w:rsidR="00403BFC" w:rsidRPr="00403BFC" w:rsidTr="006D07A8">
        <w:trPr>
          <w:trHeight w:val="953"/>
          <w:jc w:val="center"/>
        </w:trPr>
        <w:tc>
          <w:tcPr>
            <w:tcW w:w="56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3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377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Протя-женность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75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4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490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73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490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177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10167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водозаборных сооружений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33,15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населе-ния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требуемым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объе-мом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водоснабжения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  производительностью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21,64 тыс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населе-ния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предприятий и учреждений села питьевой водой соответствующего качества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повы-сительной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насосной станции 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производи-тельностью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250 м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задан-ного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гидравлического режима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110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14,96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23,85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задан-ного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гидравлического режима, требуемой надежности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водо-снабжения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потреби-телей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снижение уровня износа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объек-тов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повышение качества и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коммунальных услуг, значительное снижение потерь и как следствие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умень-шение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объемов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пот-ребляемой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электро-энергии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125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160 мм</w:t>
              </w:r>
            </w:smartTag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14,97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34,78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280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315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13,49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6,74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6,74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13,22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6,61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6,61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560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94,38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47,19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47,19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315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400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110 мм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80,53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521,57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262,63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258,94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10167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Дополнительные объекты 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Северо-запад-ного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микрорайона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4,564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7,95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3,975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3,975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угачев-ский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МО г.Пугачева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(175 земельных участков 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3,724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6,49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3,245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3,245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ул.Интернацио-нальной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ул.Орен-бургской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(16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0,820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9,108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15,87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8,65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водоснабжению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89,638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537,44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271,28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266,16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водоотведения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159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96"/>
        <w:gridCol w:w="1134"/>
        <w:gridCol w:w="1418"/>
        <w:gridCol w:w="992"/>
        <w:gridCol w:w="992"/>
        <w:gridCol w:w="2459"/>
      </w:tblGrid>
      <w:tr w:rsidR="00403BFC" w:rsidRPr="00403BFC" w:rsidTr="006D07A8">
        <w:trPr>
          <w:trHeight w:val="1288"/>
          <w:jc w:val="center"/>
        </w:trPr>
        <w:tc>
          <w:tcPr>
            <w:tcW w:w="56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134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Про-тяжен-ность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4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45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96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45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10159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К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  производительностью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20,5 тыс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397,82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198,91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198,91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повышение  обеззараживания системы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водоотве-дения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Стоимость в соответствии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смет-ной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документации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существующих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КНС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32,53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16,26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16,26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водоотведения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проектируемой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КНС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110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160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2,27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4,64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315 мм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400 мм</w:t>
              </w:r>
            </w:smartTag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5,36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18,45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500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710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12,14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102,37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51,18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51,18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800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12,39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900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5,49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57,81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1000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кана-лизационных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13,03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кана-лизационных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6,85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10,79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54,36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758,95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380,55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378,4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10159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Северо-за-падного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микрорайона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 ИЖС)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уга-чевский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г.Пуга-чева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(175 земельных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устройство выгребов (для многодетных семей)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елин-ной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ул.Интер-национальной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(16 земельных участков под ИЖС)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5,292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10,58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5,99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водоотведению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59,652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769,53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386,54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382,99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ectPr w:rsidR="00403BFC" w:rsidRPr="00403BFC" w:rsidSect="00416266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газоснабжения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409"/>
        <w:gridCol w:w="1134"/>
        <w:gridCol w:w="1251"/>
        <w:gridCol w:w="993"/>
        <w:gridCol w:w="992"/>
        <w:gridCol w:w="2551"/>
      </w:tblGrid>
      <w:tr w:rsidR="00403BFC" w:rsidRPr="00403BFC" w:rsidTr="006D07A8">
        <w:trPr>
          <w:trHeight w:val="964"/>
          <w:jc w:val="center"/>
        </w:trPr>
        <w:tc>
          <w:tcPr>
            <w:tcW w:w="61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134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Про-тяжен-ность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1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5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551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551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217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9949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1. Перспективная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5-ти этажная жилая застройка 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2. Индивидуальная жилая застройка (222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3.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(89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1,87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4.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(30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газо-проводов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5.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(54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9949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в Северо-западном микрорайоне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у-гачева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4,455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многодетных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се-мей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газификация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су-ществующей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индиви-дуальной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жилой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заст-ройки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224 квартала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в 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угачевский МО г.Пугачева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(175 земельных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2,773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ул.Интерна-циональной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(16 земельных участков под ИЖС)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0,380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1,01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7,608</w:t>
            </w:r>
          </w:p>
        </w:tc>
        <w:tc>
          <w:tcPr>
            <w:tcW w:w="12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20,30</w:t>
            </w:r>
          </w:p>
        </w:tc>
        <w:tc>
          <w:tcPr>
            <w:tcW w:w="99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газоснабжению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20,408</w:t>
            </w:r>
          </w:p>
        </w:tc>
        <w:tc>
          <w:tcPr>
            <w:tcW w:w="12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99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4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электроснабжения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276"/>
        <w:gridCol w:w="1276"/>
        <w:gridCol w:w="1559"/>
        <w:gridCol w:w="851"/>
        <w:gridCol w:w="1417"/>
      </w:tblGrid>
      <w:tr w:rsidR="00403BFC" w:rsidRPr="00403BFC" w:rsidTr="006D07A8">
        <w:trPr>
          <w:trHeight w:val="1125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агрузка,                                                                 кВт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 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млн.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 кВ кабель или СИП по проекту (км)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млн. руб.</w:t>
            </w:r>
          </w:p>
        </w:tc>
      </w:tr>
      <w:tr w:rsidR="00403BFC" w:rsidRPr="00403BFC" w:rsidTr="006D07A8">
        <w:trPr>
          <w:trHeight w:val="255"/>
        </w:trPr>
        <w:tc>
          <w:tcPr>
            <w:tcW w:w="10207" w:type="dxa"/>
            <w:gridSpan w:val="7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5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1. Перспективная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5-ти этажная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1019,72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5,078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403BFC" w:rsidRPr="00403BFC" w:rsidTr="006D07A8">
        <w:trPr>
          <w:trHeight w:val="27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2. Индивидуальная жилая застройка (222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207,96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0,295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403BFC" w:rsidRPr="00403BFC" w:rsidTr="006D07A8">
        <w:trPr>
          <w:trHeight w:val="27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3. Индивидуальная жилая застройка (89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640,33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03BFC" w:rsidRPr="00403BFC" w:rsidTr="006D07A8">
        <w:trPr>
          <w:trHeight w:val="21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4. Индивидуальная жилая застройка (30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136,9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2,44</w:t>
            </w:r>
          </w:p>
        </w:tc>
      </w:tr>
      <w:tr w:rsidR="00403BFC" w:rsidRPr="00403BFC" w:rsidTr="006D07A8">
        <w:trPr>
          <w:trHeight w:val="18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5. Индивидуальная жилая застройка (54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243,82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27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 Пугачевский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278,13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0,315</w:t>
            </w: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403BFC" w:rsidRPr="00403BFC" w:rsidTr="006D07A8">
        <w:trPr>
          <w:trHeight w:val="21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2526,86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7,538</w:t>
            </w: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8,34</w:t>
            </w:r>
          </w:p>
        </w:tc>
      </w:tr>
      <w:tr w:rsidR="00403BFC" w:rsidRPr="00403BFC" w:rsidTr="006D07A8">
        <w:trPr>
          <w:trHeight w:val="167"/>
        </w:trPr>
        <w:tc>
          <w:tcPr>
            <w:tcW w:w="10207" w:type="dxa"/>
            <w:gridSpan w:val="7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55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Северо-западном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микро-районе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 для многодетных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5,52</w:t>
            </w:r>
          </w:p>
        </w:tc>
      </w:tr>
      <w:tr w:rsidR="00403BFC" w:rsidRPr="00403BFC" w:rsidTr="006D07A8">
        <w:trPr>
          <w:trHeight w:val="205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угачевский МО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г.Пу-гачева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(175 земельных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участ-ков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под ИЖС для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2,710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3,25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нтернациональной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ренбургской (16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 для многодетных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0,690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0,83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7,387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9,6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8,917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17,94</w:t>
            </w:r>
          </w:p>
        </w:tc>
      </w:tr>
    </w:tbl>
    <w:p w:rsidR="005E7FD3" w:rsidRDefault="005E7FD3"/>
    <w:sectPr w:rsidR="005E7FD3" w:rsidSect="00403B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16942F3"/>
    <w:multiLevelType w:val="hybridMultilevel"/>
    <w:tmpl w:val="817E2BE2"/>
    <w:lvl w:ilvl="0" w:tplc="FFFFFFFF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F719F"/>
    <w:multiLevelType w:val="hybridMultilevel"/>
    <w:tmpl w:val="6DFE17BC"/>
    <w:lvl w:ilvl="0" w:tplc="4910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E6BCE"/>
    <w:multiLevelType w:val="hybridMultilevel"/>
    <w:tmpl w:val="04B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25512"/>
    <w:multiLevelType w:val="hybridMultilevel"/>
    <w:tmpl w:val="A9CC78FE"/>
    <w:lvl w:ilvl="0" w:tplc="49107758">
      <w:start w:val="1"/>
      <w:numFmt w:val="bullet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EA699F"/>
    <w:multiLevelType w:val="hybridMultilevel"/>
    <w:tmpl w:val="9D5E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A7C9E"/>
    <w:multiLevelType w:val="hybridMultilevel"/>
    <w:tmpl w:val="0E8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2AF0"/>
    <w:multiLevelType w:val="hybridMultilevel"/>
    <w:tmpl w:val="DB62F3F2"/>
    <w:lvl w:ilvl="0" w:tplc="CFE081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D16077"/>
    <w:multiLevelType w:val="hybridMultilevel"/>
    <w:tmpl w:val="572A6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2252"/>
    <w:multiLevelType w:val="hybridMultilevel"/>
    <w:tmpl w:val="DB54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00B3"/>
    <w:multiLevelType w:val="hybridMultilevel"/>
    <w:tmpl w:val="0E8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FC"/>
    <w:rsid w:val="00403BFC"/>
    <w:rsid w:val="005E7FD3"/>
    <w:rsid w:val="00AB337C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0"/>
  </w:style>
  <w:style w:type="paragraph" w:styleId="1">
    <w:name w:val="heading 1"/>
    <w:basedOn w:val="a"/>
    <w:next w:val="a"/>
    <w:link w:val="10"/>
    <w:qFormat/>
    <w:rsid w:val="0040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0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0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0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0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40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0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0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0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F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3B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3BFC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3BF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03BFC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403BFC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403BFC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403BFC"/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403BFC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3BFC"/>
  </w:style>
  <w:style w:type="paragraph" w:styleId="a3">
    <w:name w:val="caption"/>
    <w:basedOn w:val="a"/>
    <w:next w:val="a"/>
    <w:qFormat/>
    <w:rsid w:val="00403BF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40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403B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40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3B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403BFC"/>
    <w:rPr>
      <w:b/>
      <w:bCs/>
    </w:rPr>
  </w:style>
  <w:style w:type="character" w:styleId="a9">
    <w:name w:val="Emphasis"/>
    <w:basedOn w:val="a0"/>
    <w:uiPriority w:val="20"/>
    <w:qFormat/>
    <w:rsid w:val="00403BFC"/>
    <w:rPr>
      <w:i/>
      <w:iCs/>
    </w:rPr>
  </w:style>
  <w:style w:type="paragraph" w:styleId="aa">
    <w:name w:val="No Spacing"/>
    <w:aliases w:val="с интервалом,No Spacing"/>
    <w:qFormat/>
    <w:rsid w:val="00403BF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b">
    <w:name w:val="List Paragraph"/>
    <w:basedOn w:val="a"/>
    <w:qFormat/>
    <w:rsid w:val="00403B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3BFC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3BFC"/>
    <w:rPr>
      <w:rFonts w:ascii="Calibri" w:eastAsia="Calibri" w:hAnsi="Calibri" w:cs="Times New Roman"/>
      <w:i/>
      <w:iCs/>
      <w:color w:val="000000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403BF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03BFC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e">
    <w:name w:val="Subtle Emphasis"/>
    <w:basedOn w:val="a0"/>
    <w:uiPriority w:val="19"/>
    <w:qFormat/>
    <w:rsid w:val="00403BF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03BF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03BF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03BF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03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403BFC"/>
    <w:pPr>
      <w:outlineLvl w:val="9"/>
    </w:pPr>
  </w:style>
  <w:style w:type="table" w:styleId="af4">
    <w:name w:val="Table Grid"/>
    <w:basedOn w:val="a1"/>
    <w:uiPriority w:val="59"/>
    <w:rsid w:val="00403B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403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03BFC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uiPriority w:val="99"/>
    <w:rsid w:val="00403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03BF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403BFC"/>
  </w:style>
  <w:style w:type="numbering" w:customStyle="1" w:styleId="110">
    <w:name w:val="Нет списка11"/>
    <w:next w:val="a2"/>
    <w:semiHidden/>
    <w:unhideWhenUsed/>
    <w:rsid w:val="00403BFC"/>
  </w:style>
  <w:style w:type="paragraph" w:customStyle="1" w:styleId="12">
    <w:name w:val="Абзац списка1"/>
    <w:basedOn w:val="a"/>
    <w:rsid w:val="00403BFC"/>
    <w:pPr>
      <w:suppressAutoHyphens/>
      <w:ind w:left="720"/>
    </w:pPr>
    <w:rPr>
      <w:rFonts w:ascii="Calibri" w:eastAsia="SimSun" w:hAnsi="Calibri" w:cs="font181"/>
      <w:kern w:val="1"/>
      <w:lang w:eastAsia="ar-SA"/>
    </w:rPr>
  </w:style>
  <w:style w:type="paragraph" w:styleId="af8">
    <w:name w:val="Body Text Indent"/>
    <w:aliases w:val="Основной текст лево,Основной текст с отступом Знак Знак"/>
    <w:basedOn w:val="a"/>
    <w:link w:val="af9"/>
    <w:rsid w:val="00403BFC"/>
    <w:pPr>
      <w:suppressAutoHyphens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9">
    <w:name w:val="Основной текст с отступом Знак"/>
    <w:aliases w:val="Основной текст лево Знак,Основной текст с отступом Знак Знак Знак"/>
    <w:basedOn w:val="a0"/>
    <w:link w:val="af8"/>
    <w:rsid w:val="00403B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Содержимое таблицы"/>
    <w:basedOn w:val="a"/>
    <w:rsid w:val="00403BF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a"/>
    <w:next w:val="afb"/>
    <w:rsid w:val="00403BFC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Body Text"/>
    <w:basedOn w:val="a"/>
    <w:link w:val="afc"/>
    <w:rsid w:val="00403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403B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03BFC"/>
    <w:rPr>
      <w:rFonts w:ascii="Times New Roman" w:hAnsi="Times New Roman"/>
      <w:sz w:val="28"/>
    </w:rPr>
  </w:style>
  <w:style w:type="paragraph" w:styleId="afd">
    <w:name w:val="header"/>
    <w:aliases w:val="ВерхКолонтитул,??????? ??????????,header-first,HeaderPort"/>
    <w:basedOn w:val="a"/>
    <w:link w:val="afe"/>
    <w:unhideWhenUsed/>
    <w:rsid w:val="00403B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e">
    <w:name w:val="Верхний колонтитул Знак"/>
    <w:aliases w:val="ВерхКолонтитул Знак,??????? ?????????? Знак,header-first Знак,HeaderPort Знак"/>
    <w:basedOn w:val="a0"/>
    <w:link w:val="afd"/>
    <w:rsid w:val="00403BFC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rsid w:val="00403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3B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rsid w:val="00403BFC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03BFC"/>
    <w:pPr>
      <w:shd w:val="clear" w:color="auto" w:fill="FFFFFF"/>
      <w:spacing w:before="300" w:after="0" w:line="274" w:lineRule="exact"/>
    </w:pPr>
    <w:rPr>
      <w:sz w:val="23"/>
      <w:szCs w:val="23"/>
    </w:rPr>
  </w:style>
  <w:style w:type="character" w:customStyle="1" w:styleId="FontStyle11">
    <w:name w:val="Font Style11"/>
    <w:rsid w:val="00403BFC"/>
    <w:rPr>
      <w:rFonts w:ascii="Times New Roman" w:hAnsi="Times New Roman"/>
      <w:sz w:val="20"/>
    </w:rPr>
  </w:style>
  <w:style w:type="character" w:customStyle="1" w:styleId="aff">
    <w:name w:val="Буквица"/>
    <w:rsid w:val="00403BFC"/>
    <w:rPr>
      <w:lang w:val="ru-RU"/>
    </w:rPr>
  </w:style>
  <w:style w:type="paragraph" w:customStyle="1" w:styleId="13">
    <w:name w:val="Текст1"/>
    <w:basedOn w:val="a"/>
    <w:rsid w:val="00403BF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ar-SA"/>
    </w:rPr>
  </w:style>
  <w:style w:type="paragraph" w:customStyle="1" w:styleId="51">
    <w:name w:val="Красная строка5"/>
    <w:basedOn w:val="afb"/>
    <w:rsid w:val="00403BFC"/>
    <w:pPr>
      <w:suppressAutoHyphens/>
      <w:ind w:firstLine="210"/>
    </w:pPr>
    <w:rPr>
      <w:lang w:eastAsia="ar-SA"/>
    </w:rPr>
  </w:style>
  <w:style w:type="paragraph" w:customStyle="1" w:styleId="111">
    <w:name w:val="Знак11 Знак Знак Знак Знак"/>
    <w:basedOn w:val="a"/>
    <w:rsid w:val="00403B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First Indent"/>
    <w:basedOn w:val="afb"/>
    <w:link w:val="aff1"/>
    <w:rsid w:val="00403BFC"/>
    <w:pPr>
      <w:ind w:firstLine="210"/>
    </w:pPr>
  </w:style>
  <w:style w:type="character" w:customStyle="1" w:styleId="aff1">
    <w:name w:val="Красная строка Знак"/>
    <w:basedOn w:val="afc"/>
    <w:link w:val="aff0"/>
    <w:rsid w:val="00403BFC"/>
  </w:style>
  <w:style w:type="paragraph" w:customStyle="1" w:styleId="Tabl">
    <w:name w:val="Tabl"/>
    <w:basedOn w:val="a"/>
    <w:rsid w:val="00403BFC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fb"/>
    <w:link w:val="Tabn2"/>
    <w:autoRedefine/>
    <w:uiPriority w:val="99"/>
    <w:rsid w:val="00403BFC"/>
    <w:pPr>
      <w:keepNext/>
      <w:spacing w:after="0"/>
      <w:jc w:val="center"/>
    </w:pPr>
    <w:rPr>
      <w:color w:val="000000"/>
      <w:spacing w:val="-2"/>
      <w:w w:val="103"/>
      <w:sz w:val="28"/>
      <w:szCs w:val="28"/>
      <w:lang w:eastAsia="en-US"/>
    </w:rPr>
  </w:style>
  <w:style w:type="character" w:customStyle="1" w:styleId="Tabn2">
    <w:name w:val="Tab_n Знак2"/>
    <w:link w:val="Tabn"/>
    <w:uiPriority w:val="99"/>
    <w:rsid w:val="00403BFC"/>
    <w:rPr>
      <w:rFonts w:ascii="Times New Roman" w:eastAsia="Times New Roman" w:hAnsi="Times New Roman" w:cs="Times New Roman"/>
      <w:color w:val="000000"/>
      <w:spacing w:val="-2"/>
      <w:w w:val="103"/>
      <w:sz w:val="28"/>
      <w:szCs w:val="28"/>
      <w:lang w:eastAsia="en-US"/>
    </w:rPr>
  </w:style>
  <w:style w:type="paragraph" w:customStyle="1" w:styleId="41">
    <w:name w:val="Красная строка4"/>
    <w:basedOn w:val="afb"/>
    <w:rsid w:val="00403BFC"/>
    <w:pPr>
      <w:widowControl w:val="0"/>
      <w:suppressAutoHyphens/>
      <w:ind w:firstLine="210"/>
    </w:pPr>
    <w:rPr>
      <w:rFonts w:eastAsia="Lucida Sans Unicode" w:cs="Tahoma"/>
      <w:color w:val="000000"/>
      <w:lang w:val="en-US" w:eastAsia="en-US" w:bidi="en-US"/>
    </w:rPr>
  </w:style>
  <w:style w:type="paragraph" w:styleId="33">
    <w:name w:val="Body Text Indent 3"/>
    <w:aliases w:val=" Знак"/>
    <w:basedOn w:val="a"/>
    <w:link w:val="34"/>
    <w:rsid w:val="00403B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 Знак"/>
    <w:basedOn w:val="a0"/>
    <w:link w:val="33"/>
    <w:rsid w:val="00403BFC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Красная строка1"/>
    <w:basedOn w:val="a"/>
    <w:rsid w:val="00403BFC"/>
    <w:pPr>
      <w:widowControl w:val="0"/>
      <w:suppressAutoHyphens/>
      <w:spacing w:after="120" w:line="240" w:lineRule="auto"/>
      <w:ind w:firstLine="21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403BF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аг 2"/>
    <w:basedOn w:val="a"/>
    <w:link w:val="28"/>
    <w:qFormat/>
    <w:rsid w:val="00403BFC"/>
    <w:pPr>
      <w:spacing w:before="240" w:after="180" w:line="240" w:lineRule="auto"/>
      <w:contextualSpacing/>
    </w:pPr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customStyle="1" w:styleId="28">
    <w:name w:val="Заг 2 Знак"/>
    <w:basedOn w:val="a0"/>
    <w:link w:val="27"/>
    <w:rsid w:val="00403BFC"/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paragraph" w:styleId="aff3">
    <w:name w:val="footnote text"/>
    <w:basedOn w:val="a"/>
    <w:link w:val="15"/>
    <w:semiHidden/>
    <w:rsid w:val="00403BFC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403BFC"/>
    <w:rPr>
      <w:sz w:val="20"/>
      <w:szCs w:val="20"/>
    </w:rPr>
  </w:style>
  <w:style w:type="character" w:customStyle="1" w:styleId="15">
    <w:name w:val="Текст сноски Знак1"/>
    <w:basedOn w:val="a0"/>
    <w:link w:val="aff3"/>
    <w:semiHidden/>
    <w:rsid w:val="00403BFC"/>
    <w:rPr>
      <w:rFonts w:ascii="Arial Narrow" w:eastAsia="Times New Roman" w:hAnsi="Arial Narrow" w:cs="Times New Roman"/>
      <w:sz w:val="24"/>
      <w:szCs w:val="20"/>
    </w:rPr>
  </w:style>
  <w:style w:type="paragraph" w:styleId="29">
    <w:name w:val="List Continue 2"/>
    <w:basedOn w:val="a"/>
    <w:rsid w:val="00403BF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403BFC"/>
    <w:pPr>
      <w:ind w:left="880"/>
    </w:pPr>
    <w:rPr>
      <w:rFonts w:ascii="Calibri" w:eastAsia="Calibri" w:hAnsi="Calibri" w:cs="Times New Roman"/>
      <w:lang w:eastAsia="en-US"/>
    </w:rPr>
  </w:style>
  <w:style w:type="paragraph" w:styleId="aff5">
    <w:name w:val="Balloon Text"/>
    <w:basedOn w:val="a"/>
    <w:link w:val="aff6"/>
    <w:uiPriority w:val="99"/>
    <w:semiHidden/>
    <w:unhideWhenUsed/>
    <w:rsid w:val="00403BF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03BF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3900</Words>
  <Characters>22234</Characters>
  <Application>Microsoft Office Word</Application>
  <DocSecurity>0</DocSecurity>
  <Lines>185</Lines>
  <Paragraphs>52</Paragraphs>
  <ScaleCrop>false</ScaleCrop>
  <Company/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2017-11-20T08:31:00Z</dcterms:created>
  <dcterms:modified xsi:type="dcterms:W3CDTF">2017-11-20T11:51:00Z</dcterms:modified>
</cp:coreProperties>
</file>