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58" w:rsidRDefault="006748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D7158" w:rsidRDefault="006748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внешней проверки годовой бюджетной отчетности</w:t>
      </w:r>
    </w:p>
    <w:p w:rsidR="00ED7158" w:rsidRDefault="006748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бюджетных средств</w:t>
      </w:r>
      <w:bookmarkStart w:id="1" w:name="_Hlk3212957"/>
      <w:bookmarkStart w:id="2" w:name="_Hlk336430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Пугачева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bookmarkStart w:id="3" w:name="_Hlk5367601"/>
      <w:bookmarkEnd w:id="2"/>
      <w:bookmarkEnd w:id="3"/>
    </w:p>
    <w:p w:rsidR="00ED7158" w:rsidRDefault="00ED7158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проведена контрольно-счетной комиссией Пугачевского муниципального района (далее - Комиссия)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Контрольные мероприятия Плана работы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264.4. Бюджетного кодекса Российской Федерации.</w:t>
      </w:r>
    </w:p>
    <w:p w:rsidR="00ED7158" w:rsidRDefault="00674807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Целью проведения внешней проверки годовой бюджетной отчетности главных администраторов бюджетных средств являлось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:</w:t>
      </w:r>
    </w:p>
    <w:p w:rsidR="00ED7158" w:rsidRDefault="00674807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соблюдения сроков представления бюджетной отчетности в соответствии с требованиями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муниципального образования города Пугачева Саратовской области;</w:t>
      </w:r>
    </w:p>
    <w:p w:rsidR="00ED7158" w:rsidRDefault="00674807">
      <w:pPr>
        <w:spacing w:after="0" w:line="240" w:lineRule="auto"/>
        <w:ind w:right="-2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единого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составления и представления бюджетной отчетности, предусмотренного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Минфин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28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2010 года № 191н (в редакции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30.11.2018)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(далее - Инструкция 191н);</w:t>
      </w:r>
    </w:p>
    <w:p w:rsidR="00ED7158" w:rsidRDefault="00674807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состава, содержания бюджетной отчетности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анализ, путем сопоставления показателей форм </w:t>
      </w:r>
      <w:r>
        <w:rPr>
          <w:rFonts w:ascii="Times New Roman" w:eastAsia="Calibri" w:hAnsi="Times New Roman" w:cs="Times New Roman"/>
          <w:sz w:val="28"/>
          <w:szCs w:val="28"/>
        </w:rPr>
        <w:t>годовой бюджетной отчетности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7158" w:rsidRDefault="00674807">
      <w:pPr>
        <w:keepNext/>
        <w:shd w:val="clear" w:color="auto" w:fill="FFFFFF"/>
        <w:tabs>
          <w:tab w:val="left" w:pos="993"/>
          <w:tab w:val="left" w:leader="underscore" w:pos="898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п</w:t>
      </w:r>
      <w:r>
        <w:rPr>
          <w:rFonts w:ascii="Times New Roman" w:eastAsia="Calibri" w:hAnsi="Times New Roman" w:cs="Times New Roman"/>
          <w:sz w:val="28"/>
          <w:szCs w:val="28"/>
        </w:rPr>
        <w:t>олноты, достоверности годовой бюджетной отчетности и соответствие исполнению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7158" w:rsidRDefault="00674807">
      <w:pPr>
        <w:pStyle w:val="Default"/>
        <w:keepNext/>
        <w:ind w:right="-2"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</w:rPr>
        <w:t>Комиссией проведена внешняя проверка бюджетной отчетности по</w:t>
      </w:r>
      <w:r>
        <w:rPr>
          <w:rFonts w:eastAsia="Times New Roman"/>
          <w:color w:val="auto"/>
          <w:sz w:val="28"/>
          <w:szCs w:val="28"/>
          <w:shd w:val="clear" w:color="auto" w:fill="FFFFFF"/>
        </w:rPr>
        <w:t xml:space="preserve"> 2 главным администраторам бюджетных средств (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дминистрация Пугачевского муниципального района (средства бюджета муниципального образования города Пугачева), Совет муниципального образования города Пугачева)</w:t>
      </w:r>
      <w:r>
        <w:rPr>
          <w:rFonts w:eastAsia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eastAsia="Times New Roman"/>
          <w:color w:val="auto"/>
          <w:sz w:val="28"/>
          <w:szCs w:val="28"/>
        </w:rPr>
        <w:t xml:space="preserve"> указанными в составе ведомственной структуры расходов </w:t>
      </w:r>
      <w:bookmarkStart w:id="4" w:name="_Hlk5375044"/>
      <w:r>
        <w:rPr>
          <w:color w:val="auto"/>
          <w:sz w:val="28"/>
          <w:szCs w:val="28"/>
        </w:rPr>
        <w:t>бюджета муниципального образования город</w:t>
      </w:r>
      <w:r>
        <w:rPr>
          <w:color w:val="auto"/>
          <w:sz w:val="28"/>
          <w:szCs w:val="28"/>
        </w:rPr>
        <w:t>а Пугачева Саратовской области на 2018 год</w:t>
      </w:r>
      <w:r>
        <w:rPr>
          <w:color w:val="auto"/>
          <w:sz w:val="28"/>
          <w:szCs w:val="28"/>
        </w:rPr>
        <w:t xml:space="preserve"> (Решение Совета муниципального образования города Пугачева Саратовской области от 24 декабря 2018 года №110)</w:t>
      </w:r>
      <w:r>
        <w:rPr>
          <w:rFonts w:eastAsia="Times New Roman"/>
          <w:color w:val="auto"/>
          <w:sz w:val="28"/>
          <w:szCs w:val="28"/>
        </w:rPr>
        <w:t>.</w:t>
      </w:r>
      <w:bookmarkEnd w:id="4"/>
    </w:p>
    <w:p w:rsidR="00ED7158" w:rsidRDefault="006748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бюджетных средств представили годовую бюджетную отчетность в Комиссию с соблюдением срока, не позднее 15-го марта текущего года, установленного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24 Положения о бюджетном процессе муниципального образования города Пугачева Сара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товской области, утвержденного решением Совета </w:t>
      </w:r>
      <w:bookmarkStart w:id="5" w:name="_Hlk537488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города Пугачева Саратовской области </w:t>
      </w:r>
      <w:bookmarkEnd w:id="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октября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№ 18 (далее - Положение о бюджетном процессе).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Финансовое управление администрации Пугачевского муниципального района не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арушило нормы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24 Положения о бюджетном процессе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представило в Комиссию годовой отчет об исполнении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города Пугачева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2018 год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15-го марта текущего года.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результатам проверки отчетности каждого главного администратора бюджетных средств составлен соответствующий акт.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по результатам внешней проверки бюджетной отчётности главных администраторов бюджетных средств направлены руководителям, ими подписаны,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экземпляру акта возвращено в Комиссию.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направлений внешней проверки бюджетной отчетности главных администраторов бюджетных средств, является проверка её соответствия Инструкции 191н. Помимо вопросов полноты и достоверности бюджетной отчё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тности проведено сопоставление форм отчётности путём сверки показателей по установленным контрольным соотношениям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плановых показателей, указанных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 Саратовск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на 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(Решение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города Пугачева Саратовской области от 24 декабря 2018 года №110)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рассматривались вопросы организации ведения бюджетного учёта.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внимание уделялось анализу пояснительных записок, входящих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состав бюджетной отчётности главных администраторов бюджетных средств, которые согласно требованиям статьи 264.2 Бюджетного кодекса Российской Федерации должны включать анализ исполнения бюджета и бюджетной отчётности.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внешней проверки оценивалась достоверность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ф.0503127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«утвержденные бюджетные назначения» и «исполнено через финансовые органы», которые соответствуют показателям утвержденного бюджета (с учетом изменений). 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Показатели иных форм бюджетной отчетности рассматривались как источники информации, отраженные в отчете об исполнении местного бюджета.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бюджетной отчётности главных администраторов бюджетных средств в основном соответствует требованиям статьи 264.1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Бюджетного кодекса Российской Федерации 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Инструкции 191н.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контрольного мероприятия установлены отдельные нарушения порядка составления отчётности, утверждённого Инструкцией         № 191н, в части состава отчётности, заполнения отдельных 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орм:</w:t>
      </w:r>
    </w:p>
    <w:p w:rsidR="00ED7158" w:rsidRDefault="00ED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Пугачевского муниципального района Саратовской области (средства бюджета муниципального образования города Пугачева) (код главы 054):</w:t>
      </w:r>
    </w:p>
    <w:p w:rsidR="00ED7158" w:rsidRDefault="0067480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ф.0503161 </w:t>
      </w:r>
      <w:bookmarkStart w:id="6" w:name="_Hlk35384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 количестве подведомственных участников бюджетного процесса, учреждений и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(муниципальных) унитарных предприятиях»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block_503163" w:history="1">
        <w:r>
          <w:rPr>
            <w:rStyle w:val="ListLabel1"/>
          </w:rPr>
          <w:t>ф.0503163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об изменениях бюджетной росписи главного распорядителя бюджетных средств»,</w:t>
      </w:r>
      <w:bookmarkStart w:id="7" w:name="_Hlk630652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ф.0503164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«Сведения об исполнении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hyperlink r:id="rId5" w:anchor="block_503172" w:history="1">
        <w:r>
          <w:rPr>
            <w:rStyle w:val="ListLabel1"/>
          </w:rPr>
          <w:t>ф.0503172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государственном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(муниципальном) долге, предоставленных бюджетных кредитах», </w:t>
      </w:r>
      <w:hyperlink r:id="rId6" w:anchor="block_503296" w:history="1">
        <w:r>
          <w:rPr>
            <w:rStyle w:val="ListLabel1"/>
          </w:rPr>
          <w:t>ф.0503296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об исполнении судебных решений по денежным обязательствам бюджета»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раскрыты в текстовой части пояснительной записки (ф.0503160), в нарушение пунктов </w:t>
      </w:r>
      <w:hyperlink r:id="rId7" w:anchor="l3487" w:history="1">
        <w:r>
          <w:rPr>
            <w:rStyle w:val="ListLabel2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hyperlink r:id="rId8" w:anchor="l2091" w:history="1">
        <w:r>
          <w:rPr>
            <w:rStyle w:val="ListLabel2"/>
          </w:rPr>
          <w:t>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Инструкции № 191н.</w:t>
      </w:r>
    </w:p>
    <w:p w:rsidR="00ED7158" w:rsidRDefault="00674807">
      <w:pPr>
        <w:tabs>
          <w:tab w:val="center" w:pos="4677"/>
          <w:tab w:val="right" w:pos="935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ф.0503164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«Сведения об исполнении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показателе менее 95% не указан код причины отклонений от планово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процента.</w:t>
      </w:r>
    </w:p>
    <w:p w:rsidR="00ED7158" w:rsidRDefault="00ED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58" w:rsidRDefault="00674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города Пугачева (код главы 119):</w:t>
      </w:r>
    </w:p>
    <w:p w:rsidR="00ED7158" w:rsidRDefault="00674807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ф.0503164 «Сведения об исполнении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причины отклонений от планового процента код 99 (иные причины)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текстовой части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пояснительной записки (ф. 0503160)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отсутствует описание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причины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что является нарушением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8.4 приложения №1 приказа финансового управления администрации Пугачевского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2018 №73 «О порядке составления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сроках представления в финансовое управление администрации Пугачевского муниципального района Саратовской области годовой бюджетной отчетности об исполнении консолидированного бюджета Пугачевского муниципального района и годовой сводной бухгалтерской от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четности муниципальных бюджетных и автономных учреждений за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11,151,152 Инструкции № 191н не предоставлены и не отражены в текстовой части ф. 0503160 «Пояснительная записка» сведения об основных направлениях деятельности;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сведения об исполнении текстовых статей закона о бюджете; проведенных результатах инвентаризации; мероприятиях внешнего контроля; сведения о результатах мероприятий внутреннего контроля, где отражаются результаты проведенных в отчетном периоде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бюджетной отчетности, являющиеся неотъемлемой ее частью: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«Справка по консолидируемым расчетам» </w:t>
      </w:r>
      <w:hyperlink r:id="rId9" w:anchor="dst8647" w:history="1">
        <w:r>
          <w:rPr>
            <w:rStyle w:val="ListLabel3"/>
          </w:rPr>
          <w:t>(ф 0503125)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«Таблицы №1,3,4,5,6,7 пояснительной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записки»;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деятельности» (ф.0503162);</w:t>
      </w:r>
    </w:p>
    <w:p w:rsidR="00ED7158" w:rsidRDefault="00674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56094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об изменениях бюджетной росписи главного распорядителя бюджетных средств» 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(ф.0503163);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финансовых вложениях» </w:t>
      </w:r>
      <w:hyperlink r:id="rId10" w:anchor="dst8647" w:history="1">
        <w:r>
          <w:rPr>
            <w:rStyle w:val="ListLabel3"/>
          </w:rPr>
          <w:t>(ф.0503171)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государственном долге (муниципальном) долге»                              </w:t>
      </w:r>
      <w:hyperlink r:id="rId11" w:anchor="dst8647" w:history="1">
        <w:r>
          <w:rPr>
            <w:rStyle w:val="ListLabel3"/>
          </w:rPr>
          <w:t>(ф.0503172)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об изменении остатков валюты баланса» </w:t>
      </w:r>
      <w:hyperlink r:id="rId12" w:anchor="dst8647" w:history="1">
        <w:r>
          <w:rPr>
            <w:rStyle w:val="ListLabel3"/>
          </w:rPr>
          <w:t>(ф.0503173)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«Сведения о доходах бюджета от перечисления части прибыли (дивидендов) государственных (муниципальных) унитарных </w:t>
      </w:r>
      <w:r>
        <w:rPr>
          <w:rFonts w:ascii="Times New Roman" w:eastAsia="Calibri" w:hAnsi="Times New Roman" w:cs="Times New Roman"/>
          <w:sz w:val="28"/>
          <w:szCs w:val="28"/>
        </w:rPr>
        <w:t>предприятий, иных организаций с государственным участием в капитале» (</w:t>
      </w:r>
      <w:hyperlink r:id="rId13" w:anchor="block_503174" w:history="1">
        <w:r>
          <w:rPr>
            <w:rStyle w:val="ListLabel4"/>
          </w:rPr>
          <w:t>ф.0503174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«Сведениях о вложениях в объекты недвижимого имущества, объектах незавершенн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строительства» </w:t>
      </w:r>
      <w:hyperlink r:id="rId14" w:anchor="dst8647" w:history="1">
        <w:r>
          <w:rPr>
            <w:rStyle w:val="ListLabel3"/>
          </w:rPr>
          <w:t>(ф.0503190)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58" w:rsidRDefault="00674807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«Сведения об исполнении судебных решений по денежным обязательствам бюджета» (</w:t>
      </w:r>
      <w:hyperlink r:id="rId15" w:anchor="block_503296" w:history="1">
        <w:r>
          <w:rPr>
            <w:rStyle w:val="ListLabel4"/>
          </w:rPr>
          <w:t>ф.0503296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D7158" w:rsidRDefault="00ED7158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58" w:rsidRDefault="00674807">
      <w:pPr>
        <w:shd w:val="clear" w:color="auto" w:fill="FFFFFF"/>
        <w:spacing w:after="0" w:line="33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для внешней проверки 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юджетная отчетность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2018 год составлена главными администраторами бюджетных средств по формам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191н,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составе отвечающим требованиям пункта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статьи 264.1 Бюджетного кодекса Российской Федерации.</w:t>
      </w:r>
    </w:p>
    <w:p w:rsidR="00ED7158" w:rsidRDefault="00674807">
      <w:pPr>
        <w:shd w:val="clear" w:color="auto" w:fill="FFFFFF"/>
        <w:spacing w:after="0" w:line="33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ыборочной проверкой отдельных контрольных соотношений между показателями форм бюджетной отчетности, установленных для главных администраторов бюджетных средств, отклонений не установлено.</w:t>
      </w:r>
    </w:p>
    <w:p w:rsidR="00ED7158" w:rsidRDefault="00674807">
      <w:pPr>
        <w:shd w:val="clear" w:color="auto" w:fill="FFFFFF"/>
        <w:spacing w:after="0" w:line="33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</w:t>
      </w:r>
      <w:r>
        <w:rPr>
          <w:rFonts w:ascii="Times New Roman" w:hAnsi="Times New Roman" w:cs="Times New Roman"/>
          <w:sz w:val="28"/>
          <w:szCs w:val="28"/>
        </w:rPr>
        <w:t>жений или замечаний руководителей объектов контрольного мероприятия по его результатам нет.</w:t>
      </w:r>
    </w:p>
    <w:p w:rsidR="00ED7158" w:rsidRDefault="0067480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внешней проверки годовая бюджетная отчетность главных администраторов бюджетных средств признана достоверной.</w:t>
      </w:r>
    </w:p>
    <w:p w:rsidR="00ED7158" w:rsidRDefault="0067480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сделаны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по более качественному представлению бюджетной отчетности в соответствии с требованиями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утвержденной приказом Минфина РФ от 28 декабря 2010 года № 191н, с повышением информативности содержания пояснительных записок.</w:t>
      </w:r>
    </w:p>
    <w:p w:rsidR="00ED7158" w:rsidRDefault="0067480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работу, направленную на осуществление контроля за соблюдением внутренних стандартов и процедур составления и исполне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бюджета, составления бюджетной отчётности и ведения бюджетного учёта, а также на подготовку и организацию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мер, направленных на повышение результативности использования бюджетных средств. </w:t>
      </w:r>
    </w:p>
    <w:p w:rsidR="00ED7158" w:rsidRDefault="00674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выявленные в ходе настоящей проверки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отклонения устранить, принять к сведению для недопущения в дальнейшей работе.</w:t>
      </w:r>
    </w:p>
    <w:p w:rsidR="00ED7158" w:rsidRDefault="00674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 и предложения по годовому отчету об исполнении бюджета муниципального образования города Пугачева за 2018 год изложены в заключении на проект решения «Об исполнении бюд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жета муниципального образования города Пугачева за 2018 год», направленном в Совет муниципального образования города Пугачева Саратовской области.</w:t>
      </w:r>
    </w:p>
    <w:p w:rsidR="00ED7158" w:rsidRDefault="00ED7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158" w:rsidRDefault="00ED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158" w:rsidRDefault="00674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Л.В. Копылова</w:t>
      </w:r>
    </w:p>
    <w:p w:rsidR="00ED7158" w:rsidRDefault="00ED71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158" w:rsidRDefault="0067480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ED7158">
      <w:pgSz w:w="11906" w:h="16838"/>
      <w:pgMar w:top="1134" w:right="707" w:bottom="1134" w:left="1843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58"/>
    <w:rsid w:val="00674807"/>
    <w:rsid w:val="00E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92F9"/>
  <w15:docId w15:val="{813E4C1C-58AB-429D-A7FE-7F4E0CE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38E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80FC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B38E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27968?l2091" TargetMode="External"/><Relationship Id="rId13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327968?l3487" TargetMode="External"/><Relationship Id="rId12" Type="http://schemas.openxmlformats.org/officeDocument/2006/relationships/hyperlink" Target="http://www.consultant.ru/document/cons_doc_LAW_31539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81732/b1c53f47d0bb3a791ad5868c560616f5/" TargetMode="External"/><Relationship Id="rId11" Type="http://schemas.openxmlformats.org/officeDocument/2006/relationships/hyperlink" Target="http://www.consultant.ru/document/cons_doc_LAW_315392/" TargetMode="External"/><Relationship Id="rId5" Type="http://schemas.openxmlformats.org/officeDocument/2006/relationships/hyperlink" Target="https://base.garant.ru/12181732/b1c53f47d0bb3a791ad5868c560616f5/" TargetMode="External"/><Relationship Id="rId15" Type="http://schemas.openxmlformats.org/officeDocument/2006/relationships/hyperlink" Target="https://base.garant.ru/12181732/b1c53f47d0bb3a791ad5868c560616f5/" TargetMode="External"/><Relationship Id="rId10" Type="http://schemas.openxmlformats.org/officeDocument/2006/relationships/hyperlink" Target="http://www.consultant.ru/document/cons_doc_LAW_315392/" TargetMode="External"/><Relationship Id="rId4" Type="http://schemas.openxmlformats.org/officeDocument/2006/relationships/hyperlink" Target="https://base.garant.ru/12181732/b1c53f47d0bb3a791ad5868c560616f5/" TargetMode="External"/><Relationship Id="rId9" Type="http://schemas.openxmlformats.org/officeDocument/2006/relationships/hyperlink" Target="http://www.consultant.ru/document/cons_doc_LAW_315392/" TargetMode="External"/><Relationship Id="rId14" Type="http://schemas.openxmlformats.org/officeDocument/2006/relationships/hyperlink" Target="http://www.consultant.ru/document/cons_doc_LAW_315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39</cp:revision>
  <cp:lastPrinted>2019-04-09T11:34:00Z</cp:lastPrinted>
  <dcterms:created xsi:type="dcterms:W3CDTF">2019-04-05T04:04:00Z</dcterms:created>
  <dcterms:modified xsi:type="dcterms:W3CDTF">2019-04-18T06:54:00Z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