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49" w:rsidRDefault="007B0A49">
      <w:pPr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  <w:t>от 1 ноября 2019 года № 1255</w:t>
      </w: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соглашений о </w:t>
      </w:r>
      <w:proofErr w:type="spellStart"/>
      <w:r w:rsidRPr="00A3400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b/>
          <w:sz w:val="28"/>
          <w:szCs w:val="28"/>
        </w:rPr>
        <w:t>партнерстве</w:t>
      </w:r>
      <w:proofErr w:type="gramEnd"/>
      <w:r w:rsidRPr="00A34004">
        <w:rPr>
          <w:rFonts w:ascii="Times New Roman" w:hAnsi="Times New Roman" w:cs="Times New Roman"/>
          <w:b/>
          <w:sz w:val="28"/>
          <w:szCs w:val="28"/>
        </w:rPr>
        <w:t xml:space="preserve"> и концессионных соглашений от имени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района, муниципального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образования города Пугачева Пугачевского муниципального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района Саратовской области на срок, превышающий  срок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действия утвержденных лимитов бюджетных обязательств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Устава Пугачевского муниципального района администрация Пугачевского муниципального района ПОСТАНОВЛЯЕТ: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6" w:anchor="Par33" w:history="1">
        <w:r w:rsidRPr="00A34004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муни-ципально-частном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от имени </w:t>
      </w:r>
      <w:proofErr w:type="spellStart"/>
      <w:proofErr w:type="gramStart"/>
      <w:r w:rsidRPr="00A34004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образования города Пугачева Пугачевского муниципального района Саратовской области на срок,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превы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шающий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срок действия утвержденных лимитов бюджетных обязательств согласно приложению.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на официальном сайте </w:t>
      </w:r>
      <w:proofErr w:type="spellStart"/>
      <w:proofErr w:type="gramStart"/>
      <w:r w:rsidRPr="00A34004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Заместитель главы администрации</w:t>
      </w:r>
    </w:p>
    <w:p w:rsidR="00A34004" w:rsidRPr="00A34004" w:rsidRDefault="00A34004" w:rsidP="00A3400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 муниципального района</w:t>
      </w:r>
    </w:p>
    <w:p w:rsidR="00A34004" w:rsidRPr="00A34004" w:rsidRDefault="00A34004" w:rsidP="00A3400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по общим вопросам</w:t>
      </w: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          </w:t>
      </w:r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</w:t>
      </w:r>
      <w:proofErr w:type="spellStart"/>
      <w:r w:rsidRPr="00A34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В.С.Балдин</w:t>
      </w:r>
      <w:proofErr w:type="spell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от 1 ноября 2019 года № 1255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A3400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принятия решений о заключении соглашений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3400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b/>
          <w:sz w:val="28"/>
          <w:szCs w:val="28"/>
        </w:rPr>
        <w:t xml:space="preserve"> партнерстве и </w:t>
      </w:r>
      <w:proofErr w:type="gramStart"/>
      <w:r w:rsidRPr="00A34004">
        <w:rPr>
          <w:rFonts w:ascii="Times New Roman" w:hAnsi="Times New Roman" w:cs="Times New Roman"/>
          <w:b/>
          <w:sz w:val="28"/>
          <w:szCs w:val="28"/>
        </w:rPr>
        <w:t>концессионных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соглашений от имени Пугачевского муниципального района,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Пугачева Пугачевского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 на срок,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превышающий срок действия утвержденных лимитов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1.Настоящий Порядок в соответствии с </w:t>
      </w:r>
      <w:hyperlink r:id="rId7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является Пугачевский муниципальный район или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муни-ципальное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образование города Пугачева Пугачевского</w:t>
      </w:r>
      <w:r w:rsidRPr="00A34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заключаемых в соответствии с законодательством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Рос-сийской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Федерации 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и концессионных соглашений,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выступает Пугачевский муниципальный район или муниципальное образование города Пугачева Пугачевского муниципального района Саратовской области,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</w:t>
      </w:r>
      <w:hyperlink r:id="rId8" w:history="1">
        <w:r w:rsidRPr="00A34004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2.Решение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публичным партнером в котором является Пугачевский муниципальный район или муниципальное образование города Пугачева Пугачевского муниципального района Саратовской области, на срок, превышающий срок действия утвержденных лимитов бюджетных обязательств (далее - проект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нерства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>), принимается администрацией Пугачевского муниципального района в отношении технологически связанного между собой недвижимого имущества или недвижимого имущества и движимого имущества (далее - объект соглашения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партнерстве).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в </w:t>
      </w:r>
      <w:proofErr w:type="spellStart"/>
      <w:proofErr w:type="gramStart"/>
      <w:r w:rsidRPr="00A34004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которых может быть заключено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нерстве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со </w:t>
      </w:r>
      <w:hyperlink r:id="rId9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>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от имени Пугачевского муниципального района или муниципального образования города Пугачева Пугачевского муниципального района Саратовской области концессионного соглашения на срок, превышающий срок действия утвержденных лимитов бюджетных обязательств (далее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ветственно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- заключение концессионного соглашения, концессионное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), принимается администрацией Пугачевского муниципального района в отношении имущества (недвижимого имущества или недвижимого имущества и движимого имущества, технологически связанных между собой и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предназ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наченных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предусмотренной концессионным соглашением) (далее - объект концессионного соглашения), право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на которое принадлежит или будет принадлежать Пугачевскому муниципальному району или соответственно - муниципальному образованию города Пугачева Пугачевского муниципального района Саратовской области.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4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3.Соглашения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является Пугачевский муниципальный район или муниципальное образование города Пугачева Пугачевского муниципального района Саратовской области, 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Пугачевский муниципальный район или муниципальное образование города Пугачева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могут быть заключены на срок, превышающий срок действия утвержденных получателю средств бюджета Пугачевского муниципального района или муниципального образования города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Пугачева Пугачевского муниципального района Саратовской области лимитов бюджетных обязательств, на основании решений администрации Пугачевского муниципального района о реализации проектов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нерства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законодательством Российской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нерстве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, заключении концессионных соглашений, принимаемых в соответствии с законодательством Российской Федерации о концессионных соглашениях, в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муниципальных или ведомственных целевых программ (далее - программа) на срок и в пределах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средств, предусмотренных соответствующими программами.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4.В случае если предполагаемый срок действия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концессионного соглашения, заключаемых в рамках программ, превышает срок реализации указанных программ, такое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концессионное соглашение может быть заключено на основании постановления администрации Пугачевского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района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принимаемого в соответствии с законодательством Российской Федерации о 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о </w:t>
      </w:r>
      <w:r>
        <w:rPr>
          <w:rFonts w:ascii="Times New Roman" w:hAnsi="Times New Roman" w:cs="Times New Roman"/>
          <w:sz w:val="28"/>
          <w:szCs w:val="28"/>
        </w:rPr>
        <w:t>заклю</w:t>
      </w:r>
      <w:r w:rsidRPr="00A34004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концессионных соглашениях.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Согласование проектов постановлений администрации Пугачевского </w:t>
      </w:r>
      <w:proofErr w:type="spellStart"/>
      <w:proofErr w:type="gramStart"/>
      <w:r w:rsidRPr="00A34004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района о заключении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парт-нерстве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, концессионного соглашения осуществляется в порядке, установленном Инструкцией по делопроизводству в администрации Пугачевского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5.Концессионные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Пуга-чевский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муниципальный район, могут заключаться на срок, превышающий срок действия утвержденных лимитов бюджетных обязательств, на основании решений администрации Пугачевского муниципального района о заключении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сионных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соглашений, принимаемых в соответствии с законодательством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Федерации о концессионных соглашениях, в пределах средств,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на соответствующие цели в муниципальных или ведомственных целевых программах, предусматривающих осуществление бюджетных инвестиций в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 муниципальной собственности Пугачевского муниципального района, муниципального образования города Пугачева </w:t>
      </w:r>
      <w:proofErr w:type="spellStart"/>
      <w:proofErr w:type="gramStart"/>
      <w:r w:rsidRPr="00A34004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соответствии со </w:t>
      </w:r>
      <w:hyperlink r:id="rId11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79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6.Предельный объем средств, предусмотренный на исполнение обязательств по соглашению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концессионному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шению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плановом периоде не может превышать объем бюджетных ассигнований, предусмотренных решением Собрания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Пугачевского муниципального района на соответствующий финансовый год и на плановый период, решением Совета муниципального образования города Пугачева о бюджете муниципального образования города Пугачева Пугачевского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соответствующий финансовый год и на плановый период.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7.Решение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 должно соответствовать требованиям, установленным </w:t>
      </w:r>
      <w:hyperlink r:id="rId12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3 статьи 10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нений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8.Решение о заключении концессионного соглашения должно </w:t>
      </w:r>
      <w:proofErr w:type="spellStart"/>
      <w:proofErr w:type="gramStart"/>
      <w:r w:rsidRPr="00A34004">
        <w:rPr>
          <w:rFonts w:ascii="Times New Roman" w:hAnsi="Times New Roman" w:cs="Times New Roman"/>
          <w:sz w:val="28"/>
          <w:szCs w:val="28"/>
        </w:rPr>
        <w:t>соответ-ствовать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13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2 статьи 22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07AB5" w:rsidRDefault="00A34004">
      <w:pPr>
        <w:rPr>
          <w:rFonts w:ascii="Times New Roman" w:hAnsi="Times New Roman" w:cs="Times New Roman"/>
          <w:sz w:val="28"/>
          <w:szCs w:val="28"/>
        </w:rPr>
      </w:pPr>
    </w:p>
    <w:sectPr w:rsidR="00A34004" w:rsidRPr="00A07AB5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5515"/>
    <w:rsid w:val="000910AA"/>
    <w:rsid w:val="001117AF"/>
    <w:rsid w:val="00121BDB"/>
    <w:rsid w:val="001E3442"/>
    <w:rsid w:val="00206C1B"/>
    <w:rsid w:val="00241665"/>
    <w:rsid w:val="00563F30"/>
    <w:rsid w:val="0058746C"/>
    <w:rsid w:val="005F26FA"/>
    <w:rsid w:val="00623A63"/>
    <w:rsid w:val="006660C3"/>
    <w:rsid w:val="0071079F"/>
    <w:rsid w:val="007A2626"/>
    <w:rsid w:val="007B0A49"/>
    <w:rsid w:val="0095779A"/>
    <w:rsid w:val="00976F0E"/>
    <w:rsid w:val="00A07AB5"/>
    <w:rsid w:val="00A253C8"/>
    <w:rsid w:val="00A34004"/>
    <w:rsid w:val="00C85515"/>
    <w:rsid w:val="00CC0B51"/>
    <w:rsid w:val="00D148E2"/>
    <w:rsid w:val="00D14FDB"/>
    <w:rsid w:val="00D55793"/>
    <w:rsid w:val="00DA41D5"/>
    <w:rsid w:val="00DE4F63"/>
    <w:rsid w:val="00E9662D"/>
    <w:rsid w:val="00F32A8E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ECF-DA3D-437B-9061-0958063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2019-10-10T11:18:00Z</dcterms:created>
  <dcterms:modified xsi:type="dcterms:W3CDTF">2019-11-06T06:15:00Z</dcterms:modified>
</cp:coreProperties>
</file>