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0" w:rsidRDefault="00D31450" w:rsidP="00D3145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D31450" w:rsidRDefault="00D31450" w:rsidP="00D3145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31450" w:rsidRDefault="00D31450" w:rsidP="00D3145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31450" w:rsidRDefault="00D31450" w:rsidP="00D314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D31450" w:rsidRDefault="00D31450" w:rsidP="00D3145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D31450" w:rsidRDefault="00D31450" w:rsidP="00D3145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D31450" w:rsidRDefault="00D31450" w:rsidP="00D3145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D31450" w:rsidRDefault="00D31450" w:rsidP="00D314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450" w:rsidRDefault="00D31450" w:rsidP="00D31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D31450" w:rsidRDefault="00D31450" w:rsidP="00D31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D31450" w:rsidRDefault="00D31450" w:rsidP="00D31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450" w:rsidRDefault="00D31450" w:rsidP="00D31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567"/>
        <w:gridCol w:w="709"/>
        <w:gridCol w:w="1843"/>
        <w:gridCol w:w="708"/>
        <w:gridCol w:w="1276"/>
        <w:gridCol w:w="1276"/>
        <w:gridCol w:w="1276"/>
      </w:tblGrid>
      <w:tr w:rsidR="00D31450" w:rsidRPr="009F77CE" w:rsidTr="00D31450">
        <w:trPr>
          <w:trHeight w:val="8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31450" w:rsidRPr="009F77CE" w:rsidTr="00D31450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2 610,3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2 806,4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2 806,4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Пугачевского муниципального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D31450" w:rsidRPr="009F77CE" w:rsidTr="00D31450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8B79EB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9EB">
              <w:rPr>
                <w:rFonts w:ascii="Times New Roman" w:hAnsi="Times New Roman"/>
                <w:b/>
                <w:bCs/>
                <w:sz w:val="24"/>
                <w:szCs w:val="24"/>
              </w:rPr>
              <w:t>644 271,2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620 582,2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614 436,8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8B79EB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9EB">
              <w:rPr>
                <w:rFonts w:ascii="Times New Roman" w:hAnsi="Times New Roman"/>
                <w:sz w:val="24"/>
                <w:szCs w:val="24"/>
              </w:rPr>
              <w:t>635 090,3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614 915,2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609 725,6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202 958,6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186 606,2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186 606,2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184 619,3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101 310,4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104 818,9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111 680,8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9 160,1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74 148,8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65 138,3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9 010,5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9EB">
              <w:rPr>
                <w:rFonts w:ascii="Times New Roman" w:hAnsi="Times New Roman"/>
                <w:sz w:val="24"/>
                <w:szCs w:val="24"/>
              </w:rPr>
              <w:t>396 998,5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384 861,5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376 317,2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379 405,0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380 657,8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370 625,5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167 412,1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149 902,7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162 547,3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142 341,4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174 096,8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183 073,2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60 872,0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60 872,0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41 333,9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19 538,1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для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у обучающихся современных технологических и гуманитарных навыков в рамках реализации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>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31450" w:rsidRPr="009F77CE" w:rsidTr="00D31450">
        <w:trPr>
          <w:trHeight w:val="56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D82C5A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C5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D82C5A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C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D82C5A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C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28 594,9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25 850,2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12 407,9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D31450" w:rsidRPr="009F77CE" w:rsidTr="00D31450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12 377,9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13 442,3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D31450" w:rsidRPr="009F77CE" w:rsidTr="00D31450">
        <w:trPr>
          <w:trHeight w:val="144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13 257,1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 xml:space="preserve">"Финансовое обеспечение выполнения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местного значения за счет субсидий из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9 180,9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6 810,7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D82C5A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C5A">
              <w:rPr>
                <w:rFonts w:ascii="Times New Roman" w:hAnsi="Times New Roman"/>
                <w:b/>
                <w:bCs/>
                <w:sz w:val="24"/>
                <w:szCs w:val="24"/>
              </w:rPr>
              <w:t>112 514,8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100 185,0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97 126,7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12 666,0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12 666,0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"Развит</w:t>
            </w:r>
            <w:r>
              <w:rPr>
                <w:rFonts w:ascii="Times New Roman" w:hAnsi="Times New Roman"/>
                <w:sz w:val="24"/>
                <w:szCs w:val="24"/>
              </w:rPr>
              <w:t>ие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D31450" w:rsidRPr="009F77CE" w:rsidTr="00D31450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99 848,8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87 127,0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83 284,5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99 023,4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92 073,9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65 889,9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53 665,8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53 665,8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A3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5 079,4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5 079,4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12 969,6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12 595,2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лучших работников муниципальных учреждений культуры, находящихся на территории сельских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за счет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C71968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1968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96 665,3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27 152,5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29 321,2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26 494,2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27 152,5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 главы муниципального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26 785,0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23 095,1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23 095,1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20 882,7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3 679,1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D31450" w:rsidRPr="009F77CE" w:rsidTr="00D31450">
        <w:trPr>
          <w:trHeight w:val="56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84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19 994,1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256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нтации по планировке территорий</w:t>
            </w:r>
            <w:r w:rsidRPr="009F77CE">
              <w:rPr>
                <w:rFonts w:ascii="Times New Roman" w:hAnsi="Times New Roman"/>
                <w:sz w:val="24"/>
                <w:szCs w:val="24"/>
              </w:rPr>
              <w:t>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3 659,0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2 686,9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27 807,8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27 807,8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27 007,8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27 007,8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27 007,8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98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1 690,2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25 225,2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25 225,2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13 746,8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7 246,8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областного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20 964,2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17 886,5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18 182,0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D31450" w:rsidRPr="009F77CE" w:rsidTr="00D31450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6 794,5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31450" w:rsidRPr="009F77CE" w:rsidTr="00D31450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Обслуживание  государственного внутреннего и муниципального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 Пугачевского муниципального </w:t>
            </w: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D31450" w:rsidRPr="009F77CE" w:rsidTr="00D31450">
        <w:trPr>
          <w:trHeight w:val="4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D31450" w:rsidRPr="009F77CE" w:rsidTr="00D31450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D31450" w:rsidRPr="009F77CE" w:rsidTr="00D31450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3 981,3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3 978,9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3 978,9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3 430,6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3 533,7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23 012,1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20 301,9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19 603,3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15 426,8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11 447,0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15 426,8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12 436,6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11 447,0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11 218,4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13 014,8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12 179,9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11 218,4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8 387,1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9 874,4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8 387,1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9 665,5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9 874,4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4 617,7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1 344,0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4 617,7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2 514,4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1 344,0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9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9 407,8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7 746,9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9 407,8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9 407,8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563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8 267,1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8 193,9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7 746,9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6 744,9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6 630,5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6 744,9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1 002,0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2 412,0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1 563,4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1 002,0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Уплата налогов,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876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2 301,3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2 256,7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2 256,7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2 165,7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2 092,2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2 165,7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6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1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20 960,9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19 208,9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18 733,7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11 405,4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11 838,7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11 180,2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11 405,4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10 511,2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10 357,5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10 511,2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10 288,9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9 581,8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10 047,0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10 288,9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1 476,4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D31450" w:rsidRPr="009F77CE" w:rsidTr="00D31450">
        <w:trPr>
          <w:trHeight w:val="2256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31450" w:rsidRPr="009F77CE" w:rsidTr="00D31450">
        <w:trPr>
          <w:trHeight w:val="1236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D31450" w:rsidRPr="009F77CE" w:rsidTr="00D31450">
        <w:trPr>
          <w:trHeight w:val="279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64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9 122,2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9 084,8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18 149,7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17 307,9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18 146,7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18 146,7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D31450" w:rsidRPr="009F77CE" w:rsidTr="00D31450">
        <w:trPr>
          <w:trHeight w:val="828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37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14 700,1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14 694,9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D31450" w:rsidRPr="009F77CE" w:rsidTr="00D31450">
        <w:trPr>
          <w:trHeight w:val="1032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D31450" w:rsidRPr="009F77CE" w:rsidTr="00D31450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 xml:space="preserve">Уплата налогов, </w:t>
            </w: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704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420"/>
        </w:trPr>
        <w:tc>
          <w:tcPr>
            <w:tcW w:w="2552" w:type="dxa"/>
            <w:shd w:val="clear" w:color="auto" w:fill="auto"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1450" w:rsidRPr="009F77CE" w:rsidTr="00D3145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957 156,8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840 355,7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1450" w:rsidRPr="009F77CE" w:rsidRDefault="00D31450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7CE"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D31450" w:rsidRDefault="00D31450" w:rsidP="00D31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450" w:rsidRDefault="00D31450" w:rsidP="00D31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450" w:rsidRDefault="00D31450" w:rsidP="00D31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1450"/>
    <w:rsid w:val="00803FFF"/>
    <w:rsid w:val="00D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145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D314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4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D3145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D314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314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3145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D3145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D31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D314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D3145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D31450"/>
  </w:style>
  <w:style w:type="paragraph" w:styleId="a9">
    <w:name w:val="Body Text"/>
    <w:basedOn w:val="a"/>
    <w:link w:val="aa"/>
    <w:rsid w:val="00D3145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D3145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D314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D3145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D31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3145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D3145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D3145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145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D3145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145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D3145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D31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3145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D3145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D31450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D3145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D314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D31450"/>
  </w:style>
  <w:style w:type="character" w:styleId="af4">
    <w:name w:val="Hyperlink"/>
    <w:uiPriority w:val="99"/>
    <w:semiHidden/>
    <w:unhideWhenUsed/>
    <w:rsid w:val="00D3145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31450"/>
    <w:rPr>
      <w:color w:val="800080"/>
      <w:u w:val="single"/>
    </w:rPr>
  </w:style>
  <w:style w:type="paragraph" w:customStyle="1" w:styleId="font5">
    <w:name w:val="font5"/>
    <w:basedOn w:val="a"/>
    <w:rsid w:val="00D314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D3145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D314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D314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D314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D3145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D314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D314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D314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D314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D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D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D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17937</Words>
  <Characters>102244</Characters>
  <Application>Microsoft Office Word</Application>
  <DocSecurity>0</DocSecurity>
  <Lines>852</Lines>
  <Paragraphs>239</Paragraphs>
  <ScaleCrop>false</ScaleCrop>
  <Company/>
  <LinksUpToDate>false</LinksUpToDate>
  <CharactersWithSpaces>119942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2019-06-24T11:50:00Z</dcterms:created>
  <dcterms:modified xsi:type="dcterms:W3CDTF">2019-06-24T11:52:00Z</dcterms:modified>
</cp:coreProperties>
</file>