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D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3F5F5D" w:rsidRPr="004435C3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435C3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4435C3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3F5F5D" w:rsidRPr="004435C3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435C3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3F5F5D" w:rsidRPr="004435C3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435C3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3F5F5D" w:rsidRPr="004435C3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F5F5D" w:rsidRPr="004435C3" w:rsidRDefault="003F5F5D" w:rsidP="003F5F5D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4435C3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4435C3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3F5F5D" w:rsidRDefault="003F5F5D" w:rsidP="003F5F5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3F5F5D" w:rsidRDefault="003F5F5D" w:rsidP="003F5F5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19 ноября 2019 года № 220</w:t>
      </w:r>
    </w:p>
    <w:p w:rsidR="003F5F5D" w:rsidRDefault="003F5F5D" w:rsidP="003F5F5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color w:val="0D0D0D"/>
          <w:sz w:val="28"/>
          <w:szCs w:val="28"/>
        </w:rPr>
      </w:pPr>
    </w:p>
    <w:p w:rsidR="00D01F53" w:rsidRPr="003B3E20" w:rsidRDefault="00D01F53" w:rsidP="00D01F5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решение Собрания Пугачевского </w:t>
      </w: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Саратовской области</w:t>
      </w: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15 марта 2017 года № 68 </w:t>
      </w: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</w:t>
      </w: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межбюджетных отношениях </w:t>
      </w:r>
    </w:p>
    <w:p w:rsidR="00D01F53" w:rsidRPr="003B3E20" w:rsidRDefault="00D01F53" w:rsidP="00D01F53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Пугачевском муниципальном</w:t>
      </w:r>
    </w:p>
    <w:p w:rsidR="00D01F53" w:rsidRPr="003B3E20" w:rsidRDefault="00D01F53" w:rsidP="00D01F53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области»</w:t>
      </w:r>
    </w:p>
    <w:p w:rsidR="00D01F53" w:rsidRPr="003B3E20" w:rsidRDefault="00D01F53" w:rsidP="00D01F53">
      <w:pPr>
        <w:pStyle w:val="ConsPlusNormal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01F53" w:rsidRPr="003B3E20" w:rsidRDefault="00D01F53" w:rsidP="00D01F5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3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D01F53" w:rsidRPr="003B3E20" w:rsidRDefault="00D01F53" w:rsidP="003F5F5D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CD5E62"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в решение Собрания Пугачевского муниципального района Саратовской области от 15 марта 2017 года № 68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="00CD5E62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межбюджетных отношениях в Пугачевском муниципальном</w:t>
      </w:r>
      <w:r w:rsidR="00CD5E62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Саратовской области» 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>следующие изменения и дополнения:</w:t>
      </w:r>
    </w:p>
    <w:p w:rsidR="00D01F53" w:rsidRPr="003B3E20" w:rsidRDefault="00D01F53" w:rsidP="003F5F5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1.1. Статью 4 Положения о межбюджетных отношениях в Пугачевском муниципальном районе Саратовской области изложить в новой редакции:</w:t>
      </w:r>
    </w:p>
    <w:p w:rsidR="00D01F53" w:rsidRPr="003B3E20" w:rsidRDefault="00D01F53" w:rsidP="003F5F5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«Статья 4. Формы межбюджетных трансфертов, предоставляемых из бюджета Пугачевского муниципального района (далее – муниципального района) бюджетам поселений.</w:t>
      </w:r>
    </w:p>
    <w:p w:rsidR="00D01F53" w:rsidRPr="003B3E20" w:rsidRDefault="00D01F53" w:rsidP="003F5F5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 из бюджета Пугачевского муниципального района бюджетам поселений предоставляются в форме:</w:t>
      </w:r>
    </w:p>
    <w:p w:rsidR="00D01F53" w:rsidRPr="003B3E20" w:rsidRDefault="00D01F53" w:rsidP="003F5F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дотаций на выравнивание бюджетной обеспеченности поселений из бюджета муниципального района в соответствии со </w:t>
      </w:r>
      <w:hyperlink w:anchor="Par186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142.1</w:t>
        </w:r>
      </w:hyperlink>
      <w:r w:rsidR="003F5F5D">
        <w:rPr>
          <w:color w:val="000000" w:themeColor="text1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:rsidR="00D01F53" w:rsidRPr="003B3E20" w:rsidRDefault="00D01F53" w:rsidP="003F5F5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межбюджетных трансфертов в соответствии со </w:t>
      </w:r>
      <w:hyperlink r:id="rId4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142.4</w:t>
        </w:r>
      </w:hyperlink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5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межбюджетные трансферты из бюджета муниципального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поселений условий, установленных правилами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межбюджетных трансфертов из бюджета района бюджетам поселений.</w:t>
      </w:r>
      <w:proofErr w:type="gramEnd"/>
    </w:p>
    <w:p w:rsidR="00D01F53" w:rsidRPr="003B3E20" w:rsidRDefault="00D01F53" w:rsidP="003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 (за исключением субвенций) из бюджета муниципального района бюджетам поселений, которые предоставляются за счет бюджетов субъектов Российской Федерации, в том числе субвенций, предоставляемых бюджету муниципального района на осуществление полномочий органов государственной власти субъектов Российской Федерации по расчету и предоставлению дотаций бюджетам поселений,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</w:t>
      </w:r>
      <w:proofErr w:type="gramEnd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местным бюджетам, </w:t>
      </w: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136</w:t>
        </w:r>
      </w:hyperlink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95C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="0065083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="008D395C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F53" w:rsidRPr="003B3E20" w:rsidRDefault="00D01F53" w:rsidP="003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Федерации, устанавливаются муниципальными правовыми актами представительных органов муниципальных образований, принятыми в соответствии с законами и (или) иными нормативными правовыми актами субъекта Российской Федерации».</w:t>
      </w:r>
      <w:proofErr w:type="gramEnd"/>
    </w:p>
    <w:p w:rsidR="00D01F53" w:rsidRPr="003B3E20" w:rsidRDefault="00D01F53" w:rsidP="00D01F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1.2. Статью 7 Положения о межбюджетных отношениях в Пугачевском муниципальном районе Саратовской области изложить в новой редакции:</w:t>
      </w:r>
    </w:p>
    <w:p w:rsidR="00D01F53" w:rsidRPr="003B3E20" w:rsidRDefault="00D01F53" w:rsidP="003F5F5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Дотации на выравнивание бюджетной обеспеченности поселений из бюджета муниципального района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Дотации на выравнивание бюджетной обеспеченности поселений из бюджета муниципального района формируются за счет: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91"/>
      <w:bookmarkEnd w:id="0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1) собственных доходов и источников финансирования дефицита бюджета муниципального района;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97"/>
      <w:bookmarkEnd w:id="1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субвенций из областного бюджета на осуществление органами местного самоуправления муниципальных </w:t>
      </w: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районов полномочий органов государственной власти области</w:t>
      </w:r>
      <w:proofErr w:type="gramEnd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расчету и предоставлению дотаций поселениям.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общего объема и распределение между муниципальными образованиями дотаций на выравнивание бюджетной обеспеченности поселений из бюджета муниципального района в части, указанной в </w:t>
      </w:r>
      <w:hyperlink w:anchor="Par191" w:history="1">
        <w:r w:rsidR="00D01F53"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2</w:t>
        </w:r>
      </w:hyperlink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осуществляются в порядке, определенном в </w:t>
      </w:r>
      <w:hyperlink w:anchor="Par998" w:history="1">
        <w:r w:rsidR="00D01F53"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дотаций на выравнивание бюджетной обеспеченности поселений из бюджета муниципального района в части, указанной в </w:t>
      </w:r>
      <w:hyperlink w:anchor="Par197" w:history="1">
        <w:r w:rsidR="00D01F53"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2</w:t>
        </w:r>
      </w:hyperlink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осуществляется в порядке, установленном </w:t>
      </w:r>
      <w:hyperlink w:anchor="Par87" w:history="1">
        <w:r w:rsidR="00D01F53"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</w:t>
        </w:r>
      </w:hyperlink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распределение дотаций на выравнивание бюджетной обеспеченности поселений из бюджета муниципального района 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утверждаются решением представительного органа муниципального района о бюджете муниципального района на очередной финансовый год (очередной финансовый год и плановый период)».</w:t>
      </w:r>
    </w:p>
    <w:p w:rsidR="00D01F53" w:rsidRPr="003B3E20" w:rsidRDefault="00D01F53" w:rsidP="00D01F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53" w:rsidRPr="003B3E20" w:rsidRDefault="00D01F53" w:rsidP="00D01F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1.3. Статью 8 Положения о межбюджетных отношениях в Пугачевском муниципальном районе Саратовской области изложить в новой редакции: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«Статья 8. Иные межбюджетные трансферты, предоставляемые из бюджета муниципального района бюджетам поселений</w:t>
      </w:r>
    </w:p>
    <w:p w:rsidR="003F5F5D" w:rsidRDefault="003F5F5D" w:rsidP="003F5F5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>1.</w:t>
      </w:r>
      <w:r w:rsidR="00D01F53" w:rsidRPr="003B3E20">
        <w:rPr>
          <w:color w:val="000000" w:themeColor="text1"/>
          <w:spacing w:val="2"/>
          <w:sz w:val="28"/>
          <w:szCs w:val="28"/>
        </w:rPr>
        <w:t>В целях поддержки мер по обеспечению финансовых возможностей органов местного самоуправления муниципальных образований по осуществлению полномочий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по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решению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вопросов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местного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значения, а также 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иных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 xml:space="preserve">случаях, установленных решением Пугачевского </w:t>
      </w:r>
      <w:proofErr w:type="spellStart"/>
      <w:r w:rsidR="00D01F53" w:rsidRPr="003B3E20">
        <w:rPr>
          <w:color w:val="000000" w:themeColor="text1"/>
          <w:spacing w:val="2"/>
          <w:sz w:val="28"/>
          <w:szCs w:val="28"/>
        </w:rPr>
        <w:t>муници-пального</w:t>
      </w:r>
      <w:proofErr w:type="spellEnd"/>
      <w:r w:rsidR="00D01F53" w:rsidRPr="003B3E20">
        <w:rPr>
          <w:color w:val="000000" w:themeColor="text1"/>
          <w:spacing w:val="2"/>
          <w:sz w:val="28"/>
          <w:szCs w:val="28"/>
        </w:rPr>
        <w:t xml:space="preserve"> района «О бюджете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Пугачевского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муниципального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района»,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составе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районного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D01F53" w:rsidRPr="003B3E20">
        <w:rPr>
          <w:color w:val="000000" w:themeColor="text1"/>
          <w:spacing w:val="2"/>
          <w:sz w:val="28"/>
          <w:szCs w:val="28"/>
        </w:rPr>
        <w:t>бюджета могу</w:t>
      </w:r>
      <w:r>
        <w:rPr>
          <w:color w:val="000000" w:themeColor="text1"/>
          <w:spacing w:val="2"/>
          <w:sz w:val="28"/>
          <w:szCs w:val="28"/>
        </w:rPr>
        <w:t>т предусматриваться иные межбюд</w:t>
      </w:r>
      <w:r w:rsidR="00D01F53" w:rsidRPr="003B3E20">
        <w:rPr>
          <w:color w:val="000000" w:themeColor="text1"/>
          <w:spacing w:val="2"/>
          <w:sz w:val="28"/>
          <w:szCs w:val="28"/>
        </w:rPr>
        <w:t>жетные трансферты в соответствии с Бюджетным кодексом Российской Федерации.</w:t>
      </w:r>
      <w:proofErr w:type="gramEnd"/>
    </w:p>
    <w:p w:rsidR="00D01F53" w:rsidRPr="003B3E20" w:rsidRDefault="00D01F53" w:rsidP="003F5F5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3B3E20">
        <w:rPr>
          <w:color w:val="000000" w:themeColor="text1"/>
          <w:spacing w:val="2"/>
          <w:sz w:val="28"/>
          <w:szCs w:val="28"/>
        </w:rPr>
        <w:t>Иные межбюджетные трансферты бюджетам поселений, предусмотренные решением Пугачевского муниципального района «О бюджете Пугачевского муниципального района», предоставляются в соответствии со сводной бюджетной росписью районного бюджета в пределах бюджетных ассигнований и лимитов бюджетных обязательств путем перечисления на счета муниципальных образований района, открытые в территориальных органах Федерального казначейства в Саратовской области для кассового обслуживания исполнения местных бюджетов.</w:t>
      </w:r>
      <w:proofErr w:type="gramEnd"/>
    </w:p>
    <w:p w:rsidR="00D01F53" w:rsidRPr="003B3E20" w:rsidRDefault="00D01F53" w:rsidP="003F5F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иных межбюджетных трансфертов из бюджета муниципального района бюджетам поселений может </w:t>
      </w:r>
      <w:proofErr w:type="gramStart"/>
      <w:r w:rsidRPr="003B3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производится</w:t>
      </w:r>
      <w:proofErr w:type="gramEnd"/>
      <w:r w:rsidRPr="003B3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собственных доходов и источников финансирования дефицита бюджета муниципального района и за счет средств областного бюджета</w:t>
      </w:r>
      <w:r w:rsidR="009C11B9" w:rsidRPr="003B3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заключенными соглашениями</w:t>
      </w:r>
      <w:r w:rsidRPr="003B3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иных межбюджетных трансфертов бюджетам поселений из бюджета муниципального района на осуществление полномочий по дорожной деятельности производится в соответствии с </w:t>
      </w:r>
      <w:hyperlink w:anchor="Par860" w:history="1">
        <w:r w:rsidR="00D01F53"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Положению.</w:t>
      </w:r>
    </w:p>
    <w:p w:rsidR="00D01F53" w:rsidRPr="003B3E20" w:rsidRDefault="003F5F5D" w:rsidP="003F5F5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</w:t>
      </w:r>
      <w:r w:rsidR="00D01F53" w:rsidRPr="003B3E20">
        <w:rPr>
          <w:color w:val="000000" w:themeColor="text1"/>
          <w:spacing w:val="2"/>
          <w:sz w:val="28"/>
          <w:szCs w:val="28"/>
        </w:rPr>
        <w:t>Решением Пугачевского муниципального района «О бюджете Пугачевского муниципального района» утверждаются объем и распределение между муниципальными образованиями межбюджетных трансфертов, указанных в части 1 настоящей статьи»;</w:t>
      </w:r>
    </w:p>
    <w:p w:rsidR="00D01F53" w:rsidRPr="003B3E20" w:rsidRDefault="003F5F5D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="00D01F53"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приложении 2 к Положению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межбюджетных отношениях в Пугачевском муниципальном районе Саратовской области наименование</w:t>
      </w:r>
      <w:r w:rsidR="00CD5E62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E62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D01F53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новой редакции: </w:t>
      </w:r>
      <w:r w:rsidR="00D01F53"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«Порядок и методика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района»;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1.5.В приложении 2 к Положению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межбюджетных отношениях в Пугачевском муниципальном районе Саратовской области пункт 1.1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методики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изложить в новой редакции: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«1.1. Определение объема дотаций на выравнивание бюджетной обеспеченности поселений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дотаций на выравнивание бюджетной обеспеченности поселений, за исключением дотаций, предоставляемых за счет субвенций из областного бюджета на осуществление органами местного самоуправления муниципальных </w:t>
      </w:r>
      <w:proofErr w:type="gramStart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районов переданных полномочий органов государственной власти области</w:t>
      </w:r>
      <w:proofErr w:type="gramEnd"/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расчету и предоставлению дотаций поселениям, определяется органами местного самоуправления муниципальных районов самостоятельно. При этом могут быть использованы следующие методы: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1) в процентах от собственных или налоговых и неналоговых доходов бюджета муниципального района;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2) в процентах от прогнозного объема расходов бюджетов поселений;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3) как сумма средств, необходимых для доведения бюджетной обеспеченности поселений муниципального района до уровня, выбранного в качестве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выравнивания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(формула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расчета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r w:rsidR="003F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необходимого для доведения бюджетной обеспеченности одного поселения до уровня, выбранного в качестве критерия выравнивания, приведена в </w:t>
      </w:r>
      <w:hyperlink w:anchor="Par1283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приложения);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4) в процентах от разницы в суммарных прогнозных объемах расходов и налоговых и неналоговых доходов бюджетов поселений с учетом дотаций на выравнивание бюджетной обеспеченности поселений за счет средств областного бюджета (из расчета исключаются поселения, имеющие превышение указанных доходов над расходами);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5) индексация установленного в текущем финансовом году объема дотаций на выравнивание бюджетной обеспеченности поселений на уровень инфляции или другой коэффициент, применяемый при планировании (прогнозировании) расходной части местных бюджетов».</w:t>
      </w:r>
    </w:p>
    <w:p w:rsidR="00D01F53" w:rsidRPr="003B3E20" w:rsidRDefault="00D01F53" w:rsidP="00D01F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 w:rsidR="00516CD5"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516CD5"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приложении 2 к Положению</w:t>
      </w:r>
      <w:r w:rsidR="00516CD5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межбюджетных отношениях в Пугачевском муниципальном районе Саратовской области, в 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пункте 2.2 </w:t>
      </w:r>
      <w:r w:rsidR="00516CD5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методики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абзац: «Состав репрезентативной системы налогов, перечень экономических показателей, характеризующих налоговый потенциал поселений по видам налогов, а также источники информации утверждаются нормативными правовыми актами представительных органов местного самоуправления муниципального района» заменить абзацем следующего содержания: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репрезентативной системы налогов, перечень показателей, характеризующих налоговый потенциал, по видам налогов, а также источники информации приведены в </w:t>
      </w:r>
      <w:hyperlink w:anchor="P384" w:history="1">
        <w:r w:rsidRPr="003B3E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1</w:t>
        </w:r>
      </w:hyperlink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F53" w:rsidRPr="003B3E20" w:rsidRDefault="00D01F53" w:rsidP="00D01F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01F53" w:rsidRPr="003B3E20" w:rsidRDefault="00D01F53" w:rsidP="00D01F5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Состав репрезентативной системы налогов для расчета налогового потенциала поселений</w:t>
      </w:r>
    </w:p>
    <w:p w:rsidR="00D01F53" w:rsidRPr="003B3E20" w:rsidRDefault="00D01F53" w:rsidP="00D01F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3545"/>
        <w:gridCol w:w="3350"/>
      </w:tblGrid>
      <w:tr w:rsidR="00D01F53" w:rsidRPr="003B3E20" w:rsidTr="00D01F53">
        <w:tc>
          <w:tcPr>
            <w:tcW w:w="2665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Налоги</w:t>
            </w:r>
          </w:p>
        </w:tc>
        <w:tc>
          <w:tcPr>
            <w:tcW w:w="3545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Показатели, характеризующие налоговый потенциал</w:t>
            </w:r>
          </w:p>
        </w:tc>
        <w:tc>
          <w:tcPr>
            <w:tcW w:w="3350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Источник информации</w:t>
            </w:r>
          </w:p>
        </w:tc>
      </w:tr>
      <w:tr w:rsidR="00D01F53" w:rsidRPr="003B3E20" w:rsidTr="00D01F53">
        <w:tc>
          <w:tcPr>
            <w:tcW w:w="2665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545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350" w:type="dxa"/>
            <w:vAlign w:val="center"/>
          </w:tcPr>
          <w:p w:rsidR="00D01F53" w:rsidRPr="003B3E20" w:rsidRDefault="00D01F53" w:rsidP="00D01F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</w:tr>
      <w:tr w:rsidR="00D01F53" w:rsidRPr="003B3E20" w:rsidTr="00D01F53">
        <w:tc>
          <w:tcPr>
            <w:tcW w:w="266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Налог на доходы физических лиц</w:t>
            </w:r>
          </w:p>
        </w:tc>
        <w:tc>
          <w:tcPr>
            <w:tcW w:w="354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общая сумма исчисленного налога</w:t>
            </w:r>
          </w:p>
        </w:tc>
        <w:tc>
          <w:tcPr>
            <w:tcW w:w="3350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Федеральной налоговой службы России по Саратовской области (по согласованию)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(форма отчетности N 5-НДФЛ)</w:t>
            </w:r>
          </w:p>
        </w:tc>
      </w:tr>
      <w:tr w:rsidR="00D01F53" w:rsidRPr="003B3E20" w:rsidTr="00D01F53">
        <w:tc>
          <w:tcPr>
            <w:tcW w:w="266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Единый сельскохозяйственный налог</w:t>
            </w:r>
          </w:p>
        </w:tc>
        <w:tc>
          <w:tcPr>
            <w:tcW w:w="354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налоговая база единого сельскохозяйственного налога за вычетом суммы убытка, полученного в предыдущем (предыдущих) налоговом (налоговых) периоде (периодах), уменьшающей налоговую базу за налоговый период</w:t>
            </w:r>
            <w:proofErr w:type="gramEnd"/>
          </w:p>
        </w:tc>
        <w:tc>
          <w:tcPr>
            <w:tcW w:w="3350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Федеральной налоговой службы России по Саратовской области (по согласованию)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(форма отчетности N 5-ЕСХН)</w:t>
            </w:r>
          </w:p>
        </w:tc>
      </w:tr>
      <w:tr w:rsidR="00D01F53" w:rsidRPr="003B3E20" w:rsidTr="00D01F53">
        <w:tc>
          <w:tcPr>
            <w:tcW w:w="266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Налог на имущество физических лиц</w:t>
            </w:r>
          </w:p>
        </w:tc>
        <w:tc>
          <w:tcPr>
            <w:tcW w:w="354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налога на имущество физических лиц, подлежащая уплате в бюджет;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налога на имущество физических лиц, не поступившая в бюджет в связи с предоставлением налогоплательщикам льгот, установленных нормативными правовыми актами представительных органов муниципальных образований</w:t>
            </w:r>
          </w:p>
        </w:tc>
        <w:tc>
          <w:tcPr>
            <w:tcW w:w="3350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Федеральной налоговой службы России по Саратовской области (по согласованию)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(форма отчетности N 5-МН)</w:t>
            </w:r>
          </w:p>
        </w:tc>
      </w:tr>
      <w:tr w:rsidR="00D01F53" w:rsidRPr="003B3E20" w:rsidTr="00D01F53">
        <w:tc>
          <w:tcPr>
            <w:tcW w:w="266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Земельный налог</w:t>
            </w:r>
          </w:p>
        </w:tc>
        <w:tc>
          <w:tcPr>
            <w:tcW w:w="3545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земельного налога, подлежащая уплате в бюджет, по юридическим и физическим лицам;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сумма земельного налога, не поступившая в бюджет в связи с предоставлением налогоплательщикам льгот, установленных нормативными правовыми актами представительных органов муниципальных образований, по юридическим и физическим лицам</w:t>
            </w:r>
          </w:p>
        </w:tc>
        <w:tc>
          <w:tcPr>
            <w:tcW w:w="3350" w:type="dxa"/>
          </w:tcPr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Федеральной налоговой службы России по Саратовской области (по согласованию)</w:t>
            </w:r>
          </w:p>
          <w:p w:rsidR="00D01F53" w:rsidRPr="003B3E20" w:rsidRDefault="00D01F53" w:rsidP="00D01F5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3E20">
              <w:rPr>
                <w:rFonts w:ascii="Times New Roman" w:hAnsi="Times New Roman" w:cs="Times New Roman"/>
                <w:color w:val="000000" w:themeColor="text1"/>
                <w:sz w:val="22"/>
              </w:rPr>
              <w:t>(форма отчетности N 5-МН)</w:t>
            </w:r>
          </w:p>
        </w:tc>
      </w:tr>
    </w:tbl>
    <w:p w:rsidR="00D01F53" w:rsidRPr="003B3E20" w:rsidRDefault="00516CD5" w:rsidP="00D01F5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3B3E20">
        <w:rPr>
          <w:rFonts w:ascii="Times New Roman" w:hAnsi="Times New Roman" w:cs="Times New Roman"/>
          <w:color w:val="000000" w:themeColor="text1"/>
        </w:rPr>
        <w:t>».</w:t>
      </w:r>
    </w:p>
    <w:p w:rsidR="00D01F53" w:rsidRPr="003B3E20" w:rsidRDefault="00516CD5" w:rsidP="003F5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bCs/>
          <w:color w:val="000000" w:themeColor="text1"/>
          <w:sz w:val="28"/>
          <w:szCs w:val="28"/>
        </w:rPr>
        <w:t>1.7.</w:t>
      </w:r>
      <w:r w:rsidR="003F5F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приложении 2 к Положению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межбюджетных отношениях в Пугачевском муниципальном районе Саратовской области, в 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пункте 2.3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методики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и далее по 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тексту слова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«Таблица 1» заменить словами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«Таблица 2» в соответствующих падежах.</w:t>
      </w:r>
    </w:p>
    <w:p w:rsidR="00D01F53" w:rsidRPr="003B3E20" w:rsidRDefault="00D01F53" w:rsidP="003F5F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50DBD"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DBD" w:rsidRPr="003B3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приложении 2 к Положению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межбюджетных отношениях в Пугачевском муниципальном районе Саратовской области, в </w:t>
      </w:r>
      <w:r w:rsidR="00150DBD" w:rsidRPr="003B3E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пункте 3 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методики определения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слова: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«РФПП - объем районного фонда финансовой поддержки поселений в части, формируемой за счет собственных доходов муниципального района» заменить 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словам</w:t>
      </w:r>
      <w:r w:rsidR="00CD5E62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0DBD"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B3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«РФПП – объем средств бюджета муниципального района на выравнивание бюджетной обеспеченности поселений в части, формируемой за счет собственных доходов муниципального района».</w:t>
      </w:r>
    </w:p>
    <w:p w:rsidR="00D01F53" w:rsidRPr="003B3E20" w:rsidRDefault="00D01F53" w:rsidP="00D01F5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color w:val="000000" w:themeColor="text1"/>
          <w:sz w:val="28"/>
          <w:szCs w:val="28"/>
        </w:rPr>
        <w:t xml:space="preserve">2.Опубликовать настоящее решение, </w:t>
      </w:r>
      <w:proofErr w:type="gramStart"/>
      <w:r w:rsidRPr="003B3E20">
        <w:rPr>
          <w:rFonts w:ascii="Times New Roman" w:hAnsi="Times New Roman"/>
          <w:color w:val="000000" w:themeColor="text1"/>
          <w:sz w:val="28"/>
          <w:szCs w:val="28"/>
        </w:rPr>
        <w:t>разместив его</w:t>
      </w:r>
      <w:proofErr w:type="gramEnd"/>
      <w:r w:rsidRPr="003B3E20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 и в газете «Деловой вестник Пугачевского муниципального района».</w:t>
      </w:r>
    </w:p>
    <w:p w:rsidR="00D01F53" w:rsidRPr="003B3E20" w:rsidRDefault="00D01F53" w:rsidP="00D01F5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</w:t>
      </w:r>
      <w:r w:rsidRPr="003B3E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01F53" w:rsidRPr="003B3E20" w:rsidRDefault="00D01F53" w:rsidP="003F5F5D">
      <w:pPr>
        <w:spacing w:after="0" w:line="228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B3E20" w:rsidRDefault="003B3E20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3E20" w:rsidRDefault="003B3E20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1F53" w:rsidRPr="003B3E20" w:rsidRDefault="00D01F53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Собрания </w:t>
      </w:r>
    </w:p>
    <w:p w:rsidR="00D01F53" w:rsidRPr="003B3E20" w:rsidRDefault="00D01F53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Пугачевского муниципального района </w:t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F5F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02142">
        <w:rPr>
          <w:rFonts w:ascii="Times New Roman" w:hAnsi="Times New Roman"/>
          <w:b/>
          <w:color w:val="000000" w:themeColor="text1"/>
          <w:sz w:val="28"/>
          <w:szCs w:val="28"/>
        </w:rPr>
        <w:t>П.Н.</w:t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>Кальченко</w:t>
      </w:r>
      <w:proofErr w:type="spellEnd"/>
    </w:p>
    <w:p w:rsidR="00D01F53" w:rsidRDefault="00D01F53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3E20" w:rsidRDefault="003B3E20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3E20" w:rsidRPr="003B3E20" w:rsidRDefault="003B3E20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1F53" w:rsidRPr="003B3E20" w:rsidRDefault="00D01F53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>Пугачевского</w:t>
      </w:r>
      <w:proofErr w:type="gramEnd"/>
    </w:p>
    <w:p w:rsidR="00D01F53" w:rsidRPr="00CD5E62" w:rsidRDefault="00D01F53" w:rsidP="00D01F5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района </w:t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F5F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3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0214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F5F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0DBD" w:rsidRPr="003B3E20">
        <w:rPr>
          <w:rFonts w:ascii="Times New Roman" w:hAnsi="Times New Roman"/>
          <w:b/>
          <w:color w:val="000000" w:themeColor="text1"/>
          <w:sz w:val="28"/>
          <w:szCs w:val="28"/>
        </w:rPr>
        <w:t>М.В.Садчиков</w:t>
      </w:r>
    </w:p>
    <w:p w:rsidR="00D01F53" w:rsidRPr="00CD5E62" w:rsidRDefault="00D01F53" w:rsidP="00D01F53">
      <w:pPr>
        <w:rPr>
          <w:color w:val="000000" w:themeColor="text1"/>
        </w:rPr>
      </w:pPr>
    </w:p>
    <w:p w:rsidR="00DC3312" w:rsidRPr="00CD5E62" w:rsidRDefault="00DC3312">
      <w:pPr>
        <w:rPr>
          <w:color w:val="000000" w:themeColor="text1"/>
        </w:rPr>
      </w:pPr>
    </w:p>
    <w:sectPr w:rsidR="00DC3312" w:rsidRPr="00CD5E62" w:rsidSect="00D0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F53"/>
    <w:rsid w:val="0014264C"/>
    <w:rsid w:val="00150DBD"/>
    <w:rsid w:val="002B4E94"/>
    <w:rsid w:val="0039449F"/>
    <w:rsid w:val="003B3E20"/>
    <w:rsid w:val="003F5F5D"/>
    <w:rsid w:val="004435C3"/>
    <w:rsid w:val="0050539B"/>
    <w:rsid w:val="00516CD5"/>
    <w:rsid w:val="00536CD6"/>
    <w:rsid w:val="0065083D"/>
    <w:rsid w:val="00650B5E"/>
    <w:rsid w:val="0066488D"/>
    <w:rsid w:val="00731EF2"/>
    <w:rsid w:val="00841991"/>
    <w:rsid w:val="008D395C"/>
    <w:rsid w:val="00992D5B"/>
    <w:rsid w:val="009C11B9"/>
    <w:rsid w:val="00A81C49"/>
    <w:rsid w:val="00C02142"/>
    <w:rsid w:val="00CD5E62"/>
    <w:rsid w:val="00D01F53"/>
    <w:rsid w:val="00D72CF6"/>
    <w:rsid w:val="00DC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1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D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1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E1034D39EF2FD51D9CF4B781FD30F68DCA907C7D9E43E034FC1461802495A7F2BF62C51777FCFF3AD8DF94C66870DA38294F9B7NBxAK" TargetMode="External"/><Relationship Id="rId5" Type="http://schemas.openxmlformats.org/officeDocument/2006/relationships/hyperlink" Target="consultantplus://offline/ref=76845BD12554F53242C83007CC708683E998AD75373D833218B96DFB1D28B19DAA4E897B0077y05EI" TargetMode="External"/><Relationship Id="rId4" Type="http://schemas.openxmlformats.org/officeDocument/2006/relationships/hyperlink" Target="consultantplus://offline/ref=76845BD12554F53242C83007CC708683E998AD75373D833218B96DFB1D28B19DAA4E897B0078y0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Sobr</cp:lastModifiedBy>
  <cp:revision>16</cp:revision>
  <dcterms:created xsi:type="dcterms:W3CDTF">2019-11-01T05:23:00Z</dcterms:created>
  <dcterms:modified xsi:type="dcterms:W3CDTF">2019-11-22T11:47:00Z</dcterms:modified>
</cp:coreProperties>
</file>