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9" w:rsidRDefault="00B67879" w:rsidP="0087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от 2 марта 2020 года № 218</w:t>
      </w: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основных направлений </w:t>
      </w:r>
      <w:proofErr w:type="gramStart"/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долговой</w:t>
      </w:r>
      <w:proofErr w:type="gramEnd"/>
    </w:p>
    <w:p w:rsidR="00A27961" w:rsidRPr="00F840C4" w:rsidRDefault="00A27961" w:rsidP="00A2796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политики Пугачевского муниципального района</w:t>
      </w:r>
    </w:p>
    <w:p w:rsidR="00A27961" w:rsidRPr="00F840C4" w:rsidRDefault="00A27961" w:rsidP="00A2796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Саратовской области на 2020 год и </w:t>
      </w:r>
      <w:proofErr w:type="gramStart"/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плановый</w:t>
      </w:r>
    </w:p>
    <w:p w:rsidR="00A27961" w:rsidRPr="00F840C4" w:rsidRDefault="00A27961" w:rsidP="00A2796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период 2021 и 2022 годов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107.1 Бюджетного кодекса Российской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Феде-рации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Уставом Пугачевского муниципального района администрация </w:t>
      </w:r>
      <w:proofErr w:type="spell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ПОСТАНОВЛЯЕТ: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1.Утвердить основные направления долговой политики Пугачевского муниципального района Саратовской области на 2020 год и на плановый период 2021 и 2022 годов согласно приложению.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.Контроль над реализацией основных направлений долговой политики возложить на начальника  финансового управления администрации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Путину О.М.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.Опубликовать настоящее постановление, </w:t>
      </w:r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газете «Деловой вестник Пугачевского муниципального района»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A27961" w:rsidRDefault="00A27961" w:rsidP="00A279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</w:t>
      </w: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Default="00A27961" w:rsidP="00A2796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постановлению администрации Пугачевского муниципального района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 марта 2020 года № 218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24"/>
      <w:bookmarkEnd w:id="0"/>
      <w:r w:rsidRPr="00F840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направления долговой политики Пугачевского муниципального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района Саратовской области на 2020 год и на плановый период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2021-2022 годов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долговой политики Пугачевского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на 2020 год и на плановый период 2021 и 2022 годов (далее – Основные направления долговой политики района) представляют собой общее руководство по принятию решений в сфере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управ-ления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долгом Пугачевского муниципального района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Саратов-ской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  <w:r w:rsidRPr="00F840C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A27961" w:rsidRPr="00F840C4" w:rsidRDefault="00A27961" w:rsidP="00A27961">
      <w:pPr>
        <w:spacing w:after="0" w:line="235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долговой политики района сформированы 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положений Бюджетного </w:t>
      </w:r>
      <w:hyperlink r:id="rId5" w:history="1">
        <w:r w:rsidRPr="00F840C4">
          <w:rPr>
            <w:rFonts w:ascii="Times New Roman" w:eastAsiaTheme="minorHAnsi" w:hAnsi="Times New Roman" w:cs="Times New Roman"/>
            <w:sz w:val="28"/>
            <w:lang w:eastAsia="en-US"/>
          </w:rPr>
          <w:t>кодекса</w:t>
        </w:r>
      </w:hyperlink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основных направлений государственной долговой политики Саратовской области на  2020 год и на плановый период 2021 и 2022 годов, рекомендаций Министерства финансов Саратовской области по обеспечению сбалансированности бюджета района и условий, установленных соглашениями о предоставлении бюджету Пугачевского муниципального района Саратовской области из областного бюджета бюджетных кредитов для частичного</w:t>
      </w:r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покрытия дефицита бюджета Пугачевского муниципального района Саратовской области.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Долговая политика является продолжением бюджетной и налоговой политики 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района (далее - района) на 2020 год и на плановый период 2021 и 2022 годов </w:t>
      </w: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и определяется текущими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особен-ностями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развития экономики района в целом.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27961" w:rsidRPr="00F840C4" w:rsidRDefault="00A27961" w:rsidP="00A279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 района сформирован на 2020 год без дефицита, на плановый период 2021 и 2022 годов с </w:t>
      </w:r>
      <w:proofErr w:type="spellStart"/>
      <w:r w:rsidRPr="00F840C4">
        <w:rPr>
          <w:rFonts w:ascii="Times New Roman" w:eastAsia="Times New Roman" w:hAnsi="Times New Roman" w:cs="Times New Roman"/>
          <w:bCs/>
          <w:sz w:val="28"/>
          <w:szCs w:val="28"/>
        </w:rPr>
        <w:t>профицитом</w:t>
      </w:r>
      <w:proofErr w:type="spellEnd"/>
      <w:r w:rsidRPr="00F840C4">
        <w:rPr>
          <w:rFonts w:ascii="Times New Roman" w:eastAsia="Times New Roman" w:hAnsi="Times New Roman" w:cs="Times New Roman"/>
          <w:bCs/>
          <w:sz w:val="28"/>
          <w:szCs w:val="28"/>
        </w:rPr>
        <w:t>, который направлен на погашение, полученных ранее бюджетных кредитов из областного бюджета.</w:t>
      </w:r>
    </w:p>
    <w:p w:rsidR="00A27961" w:rsidRPr="00F840C4" w:rsidRDefault="00A27961" w:rsidP="00A279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1 января 2020 года объем муниципального внутреннего долга района составил </w:t>
      </w:r>
      <w:r w:rsidRPr="00F840C4">
        <w:rPr>
          <w:rFonts w:ascii="Times New Roman" w:eastAsia="Times New Roman" w:hAnsi="Times New Roman" w:cs="Times New Roman"/>
          <w:sz w:val="28"/>
          <w:szCs w:val="28"/>
        </w:rPr>
        <w:t>68,8 млн.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 или 33,7 процента от фактического объема налоговых и неналоговых доходов бюджета района. </w:t>
      </w:r>
    </w:p>
    <w:p w:rsidR="00A27961" w:rsidRPr="00F840C4" w:rsidRDefault="00A27961" w:rsidP="00A279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Погашение бюджетных кредитов будет осуществляться в следующие сроки:</w:t>
      </w:r>
    </w:p>
    <w:p w:rsidR="00A27961" w:rsidRPr="00F840C4" w:rsidRDefault="00A27961" w:rsidP="00A279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2020 год – 0,0 млн. руб.;</w:t>
      </w:r>
    </w:p>
    <w:p w:rsidR="00A27961" w:rsidRPr="00F840C4" w:rsidRDefault="00A27961" w:rsidP="00A279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2021 год – 41,8 млн. руб.;</w:t>
      </w:r>
    </w:p>
    <w:p w:rsidR="00A27961" w:rsidRPr="00F840C4" w:rsidRDefault="00A27961" w:rsidP="00A279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2022 год – 27,0 млн. руб.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Целевые ориентиры объема </w:t>
      </w: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долга района утверждены 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Собрания Пугачевского муниципального района </w:t>
      </w:r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Саратовской</w:t>
      </w:r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об-ласти</w:t>
      </w:r>
      <w:proofErr w:type="spell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2019 года № 228 «О бюджете Пугачевского </w:t>
      </w:r>
      <w:proofErr w:type="spell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2020 год и на плановый период 2021 и 2022 годов».</w:t>
      </w:r>
    </w:p>
    <w:p w:rsidR="00A27961" w:rsidRPr="00F840C4" w:rsidRDefault="00A27961" w:rsidP="00A27961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1.Итоги реализации долговой политики в 2019 году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2019 года структура муниципального долга района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пред-ставлена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бюджетными кредитами из бюджета Саратовской области.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на 1 января 2020 года объем муниципального долга района составил 68,8 млн. руб., сократившись по отношению </w:t>
      </w:r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аналогичному </w:t>
      </w:r>
      <w:proofErr w:type="spell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показа-телю</w:t>
      </w:r>
      <w:proofErr w:type="spell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состоянию на 1 января 2019 года на 24,1 млн. руб.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июне и июле 2019 года для частичного покрытия дефицита бюджета района, возникающего из-за неравномерного исполнения доходной части бюджета района, привлекались бюджетные кредиты из бюджета Саратовской области с процентной ставкой 0,1 процента в сумме 20,0 и 7,0 млн. руб.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соот-ветственно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Снижения объема долговых обязательств района удалось достичь за счет полного погашения бюджетных кредитов прошлых лет, подлежащих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пога-шению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2019 году, а также отказа от привлечения новых кредитов от кредитных организаций.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на 1 января 2020 года значение уровня долговой нагрузки по долговым обязательствам составило 33,7%, что на 13,9% меньше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анало-гичного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показателя по состоянию на 1 января 2019 года. Достигнутый уровень долговой нагрузки в соответствии с действующим законодательством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отно-сится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группе заемщиков с высоким уровнем долговой устойчивости.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2.Основные факторы, определяющие характер 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направления долговой политики района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Долговая политика района определяется текущими особенностями развития экономики Саратовской области и Российской Федерации в целом, а также требованиями бюджетного законодательства Российской Федерации.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факторами, определяющими характер долговой политики района на 2020 год и на плановый период 2021 и 2022 годов при исполнении бюджета района, являются снижение темпов роста доходов бюджета района, растущее давление на расходную часть бюджета района в связи с выполнением указов Президента Российской Федерации и осуществлением </w:t>
      </w:r>
      <w:proofErr w:type="spell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софинанси-рования</w:t>
      </w:r>
      <w:proofErr w:type="spell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расходных обязательств, возникших при реализации национальных проектов.</w:t>
      </w:r>
      <w:proofErr w:type="gramEnd"/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сохраняется потребность в привлечении </w:t>
      </w:r>
      <w:proofErr w:type="spell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муници-пальных</w:t>
      </w:r>
      <w:proofErr w:type="spell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заимствований как для погашения ранее полученных бюджетных кредитов, так и в целях </w:t>
      </w:r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финансирования дефицита бюджета района</w:t>
      </w:r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факторов, определяющих долговую политику, являются также вступающие с 1 января 2020 года в силу новые положения Бюджетного кодекса Российской Федерации в части оценки долговой устойчивости муниципальных образований и их ранжирования в зависимости от уровня долговой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устой-чивости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Вышеназванные направления учитываются при формировании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показа-телей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района на очередной финансовый год и на плановый период в части параметров муниципального долга.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961" w:rsidRPr="00F840C4" w:rsidRDefault="00A27961" w:rsidP="00A27961">
      <w:pPr>
        <w:spacing w:after="0" w:line="235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b/>
          <w:bCs/>
          <w:sz w:val="28"/>
          <w:szCs w:val="28"/>
        </w:rPr>
        <w:t>3.Цели и задачи долговой политики района</w:t>
      </w:r>
    </w:p>
    <w:p w:rsidR="00A27961" w:rsidRPr="00F840C4" w:rsidRDefault="00A27961" w:rsidP="00A27961">
      <w:pPr>
        <w:widowControl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Долговая политика района предусматривает установление конкретных результатов в среднесрочной перспективе при управлении долговыми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обяза-тельствами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, соотнесении рисков и объемов муниципальных заимствований, мониторинге и управлении операциями, связанными с объемом, структурой и графиками платежей по муниципальному долгу, создание условий для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обес-печения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осуществления заимствований в соответствии с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Прог-раммой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внутренних заимствований района на 2020 год и плановый период 2021 и 2022 годов.</w:t>
      </w:r>
      <w:proofErr w:type="gramEnd"/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долговой политики района – минимизация рисков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возник-новения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кризисных ситуаций при исполнении бюджета района, поддержание муниципального долга района в объеме, обеспечивающем возможность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гаран-тированного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выполнения долговых обязательств и сохранение финансовой устойчивости бюджета района.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>Основными задачами долговой политики района являются: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-6"/>
          <w:sz w:val="28"/>
          <w:szCs w:val="28"/>
        </w:rPr>
        <w:t>совершенствование сложившейся системы управления муниципальным</w:t>
      </w: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долгом;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поддержание уровня долговой нагрузки на бюджет района на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эконо-мически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безопасном уровне с учетом соблюдения дополнительных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ограни-чений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 и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усло-виями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соглашений, заключенных с Министерством финансов Саратовской области о предоставлении району бюджетных кредитов из областного бюджета;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оптимизация структуры муниципального долга района с целью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мини-мизации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стоимости его обслуживания;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-6"/>
          <w:sz w:val="28"/>
          <w:szCs w:val="28"/>
        </w:rPr>
        <w:t>снижение рисков в сфере управления муниципальным долгом района;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исполнения долговых обязательств по погашению и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обслу-живанию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 в полном объеме и в установленные сроки;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операций по управлению остатками средств на едином счете бюджета района.</w:t>
      </w:r>
    </w:p>
    <w:p w:rsidR="00A27961" w:rsidRPr="00F840C4" w:rsidRDefault="00A27961" w:rsidP="00A27961">
      <w:pPr>
        <w:widowControl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7961" w:rsidRPr="00F840C4" w:rsidRDefault="00A27961" w:rsidP="00A27961">
      <w:pPr>
        <w:widowControl w:val="0"/>
        <w:spacing w:after="0" w:line="23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b/>
          <w:sz w:val="28"/>
          <w:szCs w:val="28"/>
        </w:rPr>
        <w:t>4.Инструменты реализации долговой политики</w:t>
      </w:r>
    </w:p>
    <w:p w:rsidR="00A27961" w:rsidRPr="00F840C4" w:rsidRDefault="00A27961" w:rsidP="00A27961">
      <w:pPr>
        <w:widowControl w:val="0"/>
        <w:spacing w:after="0" w:line="23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27961" w:rsidRPr="00F840C4" w:rsidRDefault="00A27961" w:rsidP="00A279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инструментов реализации долговой политики района на 2020 год и на плановый период 2021 и 2022 годов ориентировано на положения Бюджетного кодекса Российской Федерации и долговой политики Саратовской области.</w:t>
      </w:r>
    </w:p>
    <w:p w:rsidR="00A27961" w:rsidRPr="00F840C4" w:rsidRDefault="00A27961" w:rsidP="00A279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bCs/>
          <w:sz w:val="28"/>
          <w:szCs w:val="28"/>
        </w:rPr>
        <w:t>Реализация долговой политики района в 2020 году и плановом периоде 2021 и 2022 годов будет осуществляться в условиях ограниченности финансовых ресурсов.</w:t>
      </w:r>
    </w:p>
    <w:p w:rsidR="00A27961" w:rsidRPr="00F840C4" w:rsidRDefault="00A27961" w:rsidP="00A2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>Для обеспечения реализации эффективной долговой политики района определены следующие направления: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дальнейшая реализация Плана мероприятий </w:t>
      </w: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росту доходов бюджета, оптимизации расходов бюджета и сокращению муниципального долга в целях оздоровления муниципальных финансов Саратовской области на период до 2022 года, утвержденного постановлением администрации Пугачевского </w:t>
      </w:r>
      <w:proofErr w:type="spellStart"/>
      <w:proofErr w:type="gramStart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 от 14 июня 2018 года № 500;</w:t>
      </w:r>
    </w:p>
    <w:p w:rsidR="00A27961" w:rsidRPr="00F840C4" w:rsidRDefault="00A27961" w:rsidP="00A2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снижение соотношения муниципального долга района к объему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нало-говых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неналоговых доходов районного бюджета;</w:t>
      </w:r>
    </w:p>
    <w:p w:rsidR="00A27961" w:rsidRPr="00F840C4" w:rsidRDefault="00A27961" w:rsidP="00A2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недопущение принятия и исполнения расходных обязательств, </w:t>
      </w:r>
      <w:r w:rsidRPr="00F840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pacing w:val="-4"/>
          <w:sz w:val="28"/>
          <w:szCs w:val="28"/>
        </w:rPr>
        <w:t>отне-сенных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Конституцией Российской Федерации и федеральными законами</w:t>
      </w: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к полномочиям органов местного самоуправления района;</w:t>
      </w:r>
    </w:p>
    <w:p w:rsidR="00A27961" w:rsidRPr="00F840C4" w:rsidRDefault="00A27961" w:rsidP="00A27961">
      <w:pPr>
        <w:widowControl w:val="0"/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обеспечение в 2020-2022 годах дефицита бюджета района</w:t>
      </w:r>
      <w:r w:rsidRPr="00F840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уровне не более 10 процентов от суммы доходов бюджета района без учета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безвоз-мездных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поступлений за соответствующий финансовый год;</w:t>
      </w:r>
    </w:p>
    <w:p w:rsidR="00A27961" w:rsidRPr="00F840C4" w:rsidRDefault="00A27961" w:rsidP="00A2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возможности привлечения в бюджет </w:t>
      </w:r>
      <w:r w:rsidRPr="00F840C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:rsidR="00A27961" w:rsidRPr="00F840C4" w:rsidRDefault="00A27961" w:rsidP="00A2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-6"/>
          <w:sz w:val="28"/>
          <w:szCs w:val="28"/>
        </w:rPr>
        <w:t>принятие мер по равномерному распределению выплат по обслуживанию</w:t>
      </w: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и погашению муниципального долга района по годам с целью исключения «пиков» выплат по долговым обязательствам;</w:t>
      </w:r>
    </w:p>
    <w:p w:rsidR="00A27961" w:rsidRPr="00F840C4" w:rsidRDefault="00A27961" w:rsidP="00A27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>не предоставление муниципальных гарантий на период 2020-2022 годов с целью недопущения увеличения муниципального долга;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за соблюдением всех установленных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дополни-тельных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условий и требований;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>осуществление внедрения автоматизированных процессов по ведению учета долговых обязательств района;</w:t>
      </w:r>
    </w:p>
    <w:p w:rsidR="00A27961" w:rsidRPr="00F840C4" w:rsidRDefault="00A27961" w:rsidP="00A27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>повышение уровня долговой устойчивости района.</w:t>
      </w:r>
    </w:p>
    <w:p w:rsidR="00A27961" w:rsidRPr="00F840C4" w:rsidRDefault="00A27961" w:rsidP="00A27961">
      <w:pPr>
        <w:widowControl w:val="0"/>
        <w:spacing w:after="0" w:line="23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0C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840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для бюджета района, возникающих в процессе управления муниципальным долгом</w:t>
      </w:r>
    </w:p>
    <w:p w:rsidR="00A27961" w:rsidRPr="00F840C4" w:rsidRDefault="00A27961" w:rsidP="00A279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0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планировании и привлечении заимствований необходимо учитывать риски, минимизация которых является основой эффективной долговой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поли-тики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района. В рамках основных направлений долговой политики района под риском понимается возникновение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С учетом текущего состояния муниципального долга района основными в сфере управления муниципальным долгом являются следующие риски: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1.Волатильность национальной валюты и нестабильность на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финан-совых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рынках могут повысить риск возможности рефинансирования долговых обязательств.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Снижению данного риска способствует: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удержание уровня долговой нагрузки на экономически безопасном уровне;</w:t>
      </w: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увеличение сроков заимствований и обеспечение равномерного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распре-деления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будущим финансовым годам нагрузки на бюджет района по </w:t>
      </w:r>
      <w:proofErr w:type="spellStart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обслу-живанию</w:t>
      </w:r>
      <w:proofErr w:type="spellEnd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погашению заимствований;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работы по поддержанию положительной кредитной истории района.</w:t>
      </w: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2.Отсутствие необходимых средств для исполнения бюджетных </w:t>
      </w:r>
      <w:proofErr w:type="spellStart"/>
      <w:proofErr w:type="gramStart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>обяза-тельств</w:t>
      </w:r>
      <w:proofErr w:type="spellEnd"/>
      <w:proofErr w:type="gramEnd"/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определенный срок, что может привести к риску возникновения кассовых разрывов.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-4"/>
          <w:sz w:val="28"/>
          <w:szCs w:val="28"/>
        </w:rPr>
        <w:t>Снижение данного риска осуществляется по следующим направлениям: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-6"/>
          <w:sz w:val="28"/>
          <w:szCs w:val="28"/>
        </w:rPr>
        <w:t>удержание уровня долговой нагрузки на экономически безопасном уровне;</w:t>
      </w: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сроков заимствований и обеспечение </w:t>
      </w:r>
      <w:proofErr w:type="gramStart"/>
      <w:r w:rsidRPr="00F840C4">
        <w:rPr>
          <w:rFonts w:ascii="Times New Roman" w:eastAsia="Times New Roman" w:hAnsi="Times New Roman" w:cs="Times New Roman"/>
          <w:sz w:val="28"/>
          <w:szCs w:val="28"/>
        </w:rPr>
        <w:t>равномерного</w:t>
      </w:r>
      <w:proofErr w:type="gram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40C4">
        <w:rPr>
          <w:rFonts w:ascii="Times New Roman" w:eastAsia="Times New Roman" w:hAnsi="Times New Roman" w:cs="Times New Roman"/>
          <w:sz w:val="28"/>
          <w:szCs w:val="28"/>
        </w:rPr>
        <w:t>распре-деления</w:t>
      </w:r>
      <w:proofErr w:type="spellEnd"/>
      <w:r w:rsidRPr="00F840C4">
        <w:rPr>
          <w:rFonts w:ascii="Times New Roman" w:eastAsia="Times New Roman" w:hAnsi="Times New Roman" w:cs="Times New Roman"/>
          <w:sz w:val="28"/>
          <w:szCs w:val="28"/>
        </w:rPr>
        <w:t xml:space="preserve"> по будущим финансовым годам нагрузки на бюджет по обслуживанию и погашению заимствований.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 по минимизации рисков, связанных с осуществлением заимствований, позволят более маневренно реагировать на возникающие кризисные явления.</w:t>
      </w:r>
    </w:p>
    <w:p w:rsidR="00A27961" w:rsidRPr="00F840C4" w:rsidRDefault="00A27961" w:rsidP="00A2796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961" w:rsidRPr="00F840C4" w:rsidRDefault="00A27961" w:rsidP="00A279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b/>
          <w:sz w:val="28"/>
          <w:szCs w:val="28"/>
        </w:rPr>
        <w:t>6.Прозрачность системы управления муниципальным долгом района</w:t>
      </w:r>
    </w:p>
    <w:p w:rsidR="00A27961" w:rsidRPr="00F840C4" w:rsidRDefault="00A27961" w:rsidP="00A279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961" w:rsidRPr="00F840C4" w:rsidRDefault="00A27961" w:rsidP="00A2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C4">
        <w:rPr>
          <w:rFonts w:ascii="Times New Roman" w:eastAsia="Times New Roman" w:hAnsi="Times New Roman" w:cs="Times New Roman"/>
          <w:sz w:val="28"/>
          <w:szCs w:val="28"/>
        </w:rPr>
        <w:t>Прозрачность управления долгом предполагает использование ясных формализованных процедур и механизмов управления муниципальным долгом района, публичное раскрытие информации о величине и структуре долговых обязательств, а также основных направлений долговой политики района, повышение качества раскрытия информации.</w:t>
      </w:r>
    </w:p>
    <w:p w:rsidR="00A27961" w:rsidRPr="005C5ECA" w:rsidRDefault="00A27961" w:rsidP="0087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27961" w:rsidRPr="005C5ECA" w:rsidSect="00A2796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879"/>
    <w:rsid w:val="0000493D"/>
    <w:rsid w:val="00005383"/>
    <w:rsid w:val="00010132"/>
    <w:rsid w:val="000203AC"/>
    <w:rsid w:val="00043711"/>
    <w:rsid w:val="00060EE0"/>
    <w:rsid w:val="0008512F"/>
    <w:rsid w:val="000851B1"/>
    <w:rsid w:val="00094FD2"/>
    <w:rsid w:val="000954BA"/>
    <w:rsid w:val="000A49DE"/>
    <w:rsid w:val="000B2520"/>
    <w:rsid w:val="000E080E"/>
    <w:rsid w:val="001812A9"/>
    <w:rsid w:val="00193250"/>
    <w:rsid w:val="001C0EFE"/>
    <w:rsid w:val="001C5E35"/>
    <w:rsid w:val="001D354A"/>
    <w:rsid w:val="002018F3"/>
    <w:rsid w:val="00203D35"/>
    <w:rsid w:val="002359CE"/>
    <w:rsid w:val="00241E99"/>
    <w:rsid w:val="0025204B"/>
    <w:rsid w:val="00260D1E"/>
    <w:rsid w:val="00264CA0"/>
    <w:rsid w:val="00284E70"/>
    <w:rsid w:val="002D1E1E"/>
    <w:rsid w:val="002E03D5"/>
    <w:rsid w:val="002E0775"/>
    <w:rsid w:val="002F63C4"/>
    <w:rsid w:val="003130DD"/>
    <w:rsid w:val="00316709"/>
    <w:rsid w:val="00344FEE"/>
    <w:rsid w:val="0034687D"/>
    <w:rsid w:val="00350C0E"/>
    <w:rsid w:val="00375B67"/>
    <w:rsid w:val="003B57CA"/>
    <w:rsid w:val="003C52BD"/>
    <w:rsid w:val="003E47D3"/>
    <w:rsid w:val="00403C4E"/>
    <w:rsid w:val="004344EF"/>
    <w:rsid w:val="00437DCB"/>
    <w:rsid w:val="00465987"/>
    <w:rsid w:val="004761CC"/>
    <w:rsid w:val="004875BE"/>
    <w:rsid w:val="004B5BD5"/>
    <w:rsid w:val="004B72EC"/>
    <w:rsid w:val="004E3D38"/>
    <w:rsid w:val="004F178F"/>
    <w:rsid w:val="004F76C7"/>
    <w:rsid w:val="0051360B"/>
    <w:rsid w:val="00526B8C"/>
    <w:rsid w:val="00533595"/>
    <w:rsid w:val="0053662F"/>
    <w:rsid w:val="00547158"/>
    <w:rsid w:val="00552101"/>
    <w:rsid w:val="005A2821"/>
    <w:rsid w:val="005C5ECA"/>
    <w:rsid w:val="005F4D66"/>
    <w:rsid w:val="005F4FBC"/>
    <w:rsid w:val="006105F1"/>
    <w:rsid w:val="006247C1"/>
    <w:rsid w:val="00625ADB"/>
    <w:rsid w:val="006322B2"/>
    <w:rsid w:val="006339EF"/>
    <w:rsid w:val="00662333"/>
    <w:rsid w:val="006807D7"/>
    <w:rsid w:val="00686741"/>
    <w:rsid w:val="00697B4A"/>
    <w:rsid w:val="00697EBE"/>
    <w:rsid w:val="006A3830"/>
    <w:rsid w:val="006A7A05"/>
    <w:rsid w:val="006D1236"/>
    <w:rsid w:val="006D5631"/>
    <w:rsid w:val="006E620B"/>
    <w:rsid w:val="006F14E9"/>
    <w:rsid w:val="007040FF"/>
    <w:rsid w:val="00711656"/>
    <w:rsid w:val="0072429C"/>
    <w:rsid w:val="007258EB"/>
    <w:rsid w:val="00730687"/>
    <w:rsid w:val="00756FCD"/>
    <w:rsid w:val="00761715"/>
    <w:rsid w:val="0078445F"/>
    <w:rsid w:val="007B369C"/>
    <w:rsid w:val="007C07E5"/>
    <w:rsid w:val="007D141C"/>
    <w:rsid w:val="00855100"/>
    <w:rsid w:val="00855ABC"/>
    <w:rsid w:val="00874716"/>
    <w:rsid w:val="00880744"/>
    <w:rsid w:val="00885DEE"/>
    <w:rsid w:val="00891BF2"/>
    <w:rsid w:val="008A1D3F"/>
    <w:rsid w:val="008A56F7"/>
    <w:rsid w:val="008A76F0"/>
    <w:rsid w:val="008C52CE"/>
    <w:rsid w:val="008E5546"/>
    <w:rsid w:val="008F14DE"/>
    <w:rsid w:val="009007C8"/>
    <w:rsid w:val="00943C3F"/>
    <w:rsid w:val="00954E21"/>
    <w:rsid w:val="00970397"/>
    <w:rsid w:val="0097347A"/>
    <w:rsid w:val="00990092"/>
    <w:rsid w:val="009C3CAA"/>
    <w:rsid w:val="009D2A97"/>
    <w:rsid w:val="009D5CB2"/>
    <w:rsid w:val="009E2DE9"/>
    <w:rsid w:val="009E6F87"/>
    <w:rsid w:val="009F47E1"/>
    <w:rsid w:val="00A1233F"/>
    <w:rsid w:val="00A27961"/>
    <w:rsid w:val="00A42C66"/>
    <w:rsid w:val="00A568C8"/>
    <w:rsid w:val="00A57C7B"/>
    <w:rsid w:val="00A616B4"/>
    <w:rsid w:val="00A6478F"/>
    <w:rsid w:val="00A736C7"/>
    <w:rsid w:val="00AB178E"/>
    <w:rsid w:val="00AB7537"/>
    <w:rsid w:val="00AD6B8B"/>
    <w:rsid w:val="00AE0546"/>
    <w:rsid w:val="00AF1F55"/>
    <w:rsid w:val="00B15B16"/>
    <w:rsid w:val="00B241C8"/>
    <w:rsid w:val="00B44DAF"/>
    <w:rsid w:val="00B45693"/>
    <w:rsid w:val="00B63887"/>
    <w:rsid w:val="00B66741"/>
    <w:rsid w:val="00B67879"/>
    <w:rsid w:val="00B719D1"/>
    <w:rsid w:val="00B82700"/>
    <w:rsid w:val="00B82E78"/>
    <w:rsid w:val="00BA2C38"/>
    <w:rsid w:val="00BB53F8"/>
    <w:rsid w:val="00BE0379"/>
    <w:rsid w:val="00BE7C97"/>
    <w:rsid w:val="00C01E6F"/>
    <w:rsid w:val="00C039F0"/>
    <w:rsid w:val="00C03CB6"/>
    <w:rsid w:val="00C32C67"/>
    <w:rsid w:val="00C33D87"/>
    <w:rsid w:val="00C450D1"/>
    <w:rsid w:val="00C84BD5"/>
    <w:rsid w:val="00CC3F38"/>
    <w:rsid w:val="00CF539C"/>
    <w:rsid w:val="00D2034A"/>
    <w:rsid w:val="00D37791"/>
    <w:rsid w:val="00D43ED2"/>
    <w:rsid w:val="00D50BE2"/>
    <w:rsid w:val="00D5286F"/>
    <w:rsid w:val="00D62E31"/>
    <w:rsid w:val="00D7188C"/>
    <w:rsid w:val="00D75F10"/>
    <w:rsid w:val="00D935CB"/>
    <w:rsid w:val="00DB0BEA"/>
    <w:rsid w:val="00DC1E42"/>
    <w:rsid w:val="00DD3C9F"/>
    <w:rsid w:val="00DD44E5"/>
    <w:rsid w:val="00DE3330"/>
    <w:rsid w:val="00DE6F72"/>
    <w:rsid w:val="00E038FE"/>
    <w:rsid w:val="00E07C85"/>
    <w:rsid w:val="00E22B7B"/>
    <w:rsid w:val="00E25FFC"/>
    <w:rsid w:val="00E36378"/>
    <w:rsid w:val="00E53BD3"/>
    <w:rsid w:val="00E73EFB"/>
    <w:rsid w:val="00E93CEB"/>
    <w:rsid w:val="00EA43A0"/>
    <w:rsid w:val="00EA4C5D"/>
    <w:rsid w:val="00EC7FD3"/>
    <w:rsid w:val="00ED47CB"/>
    <w:rsid w:val="00EE3267"/>
    <w:rsid w:val="00EF6DC8"/>
    <w:rsid w:val="00EF75F3"/>
    <w:rsid w:val="00F1311D"/>
    <w:rsid w:val="00F418BC"/>
    <w:rsid w:val="00F56E1C"/>
    <w:rsid w:val="00F708EB"/>
    <w:rsid w:val="00F72DFE"/>
    <w:rsid w:val="00F76DD4"/>
    <w:rsid w:val="00F83A6D"/>
    <w:rsid w:val="00F86E78"/>
    <w:rsid w:val="00FA4473"/>
    <w:rsid w:val="00FB4077"/>
    <w:rsid w:val="00FB7860"/>
    <w:rsid w:val="00FC46A3"/>
    <w:rsid w:val="00FE4E84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3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E6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1061E7B2EAA08C4707F2A951CD613A0FC9C63EE93F819228D21F38064a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2B5B-04D2-4C46-BF06-1F671BA1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kuvshinovaon</dc:creator>
  <cp:lastModifiedBy>Пользователь Windows</cp:lastModifiedBy>
  <cp:revision>153</cp:revision>
  <cp:lastPrinted>2020-02-27T07:39:00Z</cp:lastPrinted>
  <dcterms:created xsi:type="dcterms:W3CDTF">2015-07-20T06:26:00Z</dcterms:created>
  <dcterms:modified xsi:type="dcterms:W3CDTF">2020-03-04T07:45:00Z</dcterms:modified>
</cp:coreProperties>
</file>