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9F" w:rsidRPr="00D3509F" w:rsidRDefault="00D3509F" w:rsidP="00D350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509F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внутреннего трудового распорядка: регулировать или не регулировать нормы охраны труда</w:t>
      </w:r>
    </w:p>
    <w:p w:rsidR="00D3509F" w:rsidRPr="00D3509F" w:rsidRDefault="00D3509F" w:rsidP="00D35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Правила внутреннего трудового распорядка (ПВТР): что регламентирует этот локальный нормативный акт. Локальные нормативные акты в одном документе: в чем удобство для </w:t>
      </w:r>
      <w:proofErr w:type="spellStart"/>
      <w:r w:rsidRPr="00D3509F">
        <w:rPr>
          <w:rFonts w:ascii="Times New Roman" w:eastAsia="Times New Roman" w:hAnsi="Times New Roman" w:cs="Times New Roman"/>
          <w:sz w:val="24"/>
          <w:szCs w:val="24"/>
        </w:rPr>
        <w:t>микропредприятий</w:t>
      </w:r>
      <w:proofErr w:type="spellEnd"/>
      <w:r w:rsidRPr="00D3509F">
        <w:rPr>
          <w:rFonts w:ascii="Times New Roman" w:eastAsia="Times New Roman" w:hAnsi="Times New Roman" w:cs="Times New Roman"/>
          <w:sz w:val="24"/>
          <w:szCs w:val="24"/>
        </w:rPr>
        <w:t>. Перечислить требования по охране труда в ПВТР — право работодателя.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>Контрольно-надзорные органы довольно часто обращают внимание на наличие и содержание правил внутреннего трудового распорядка (далее — ПВТР).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>Если в 2008-2010 гг. при проведении проверок нарушение, заключающееся в отсутствии ПВТР, встречалось практически на каждом третьем предприятии, то сейчас такое нарушение можно назвать редким и единичным случаем. А вот изучение содержания ПВТР по-прежнему позволяет выявлять нарушения норм и требований трудового законодательства.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>Следует отметить, что судебная практика по отношению к выявленным нарушениям и принимаемым мерам с 2008 по настоящее время значительно поменялась.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 xml:space="preserve">Ранее суды оставляли в силе предписания и постановления государственных инспекторов труда, если в ПВТР отсутствовал какой-то из разделов, предусмотренных Трудовым кодексом Российской Федерации (далее — ТК РФ), а </w:t>
      </w:r>
      <w:proofErr w:type="gramStart"/>
      <w:r w:rsidRPr="00D3509F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D3509F">
        <w:rPr>
          <w:rFonts w:ascii="Times New Roman" w:eastAsia="Times New Roman" w:hAnsi="Times New Roman" w:cs="Times New Roman"/>
          <w:sz w:val="24"/>
          <w:szCs w:val="24"/>
        </w:rPr>
        <w:t xml:space="preserve"> если в предписании содержались обязанности, виды взысканий, документы и т.д., не установленные ТК РФ. В последнее время суды отменяют такие решения.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>Встречаются случаи, когда работодателю приходится объяснять, почему он включил в ПВТР, например, раздел «Оплата труда и премирование работника» или «Система управления охраной труда». Претензии, как правило, заключаются в том, что локальные нормативные акты, регулирующие систему оплаты труда или порядок управления охраной труда организации, — это отдельные локальные нормативные акты, а не часть ПВТР.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>Получается, что если нормы, равнозначные по содержанию, напечатаны на отдельных листах, прошиты и утверждены в установленном законом порядке, то это локальный нормативный акт, а если это раздел или глава отдельного документа (например, ПВТР), то это не локальный нормативный акт.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>Если работодатель интегрировал в один локальный нормативный акт (в виде раздела/главы/части) различные локальные нормативные акты, то это его право, главное — соблюсти требования по утверждению локального нормативного акта, а также ознакомить с ним под подпись работников.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 xml:space="preserve">И надо признать, что это будет удобно для </w:t>
      </w:r>
      <w:proofErr w:type="spellStart"/>
      <w:r w:rsidRPr="00D3509F">
        <w:rPr>
          <w:rFonts w:ascii="Times New Roman" w:eastAsia="Times New Roman" w:hAnsi="Times New Roman" w:cs="Times New Roman"/>
          <w:sz w:val="24"/>
          <w:szCs w:val="24"/>
        </w:rPr>
        <w:t>микропредприятий</w:t>
      </w:r>
      <w:proofErr w:type="spellEnd"/>
      <w:r w:rsidRPr="00D3509F">
        <w:rPr>
          <w:rFonts w:ascii="Times New Roman" w:eastAsia="Times New Roman" w:hAnsi="Times New Roman" w:cs="Times New Roman"/>
          <w:sz w:val="24"/>
          <w:szCs w:val="24"/>
        </w:rPr>
        <w:t xml:space="preserve"> и предприятий малого бизнеса, где нет производства, сложного оборудования, если мы говорим о вопросах охраны труда.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>Если Вы решили не плодить локальные нормативные документы, а интегрировать их как часть (главу, раздел) в ПВТР, то называйте эти части (главы, разделы) полным наименованием соответствующего локального нормативного акта, например «Раздел 8. Положение о системе управление охраной труда Общества».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Если говорить об основных правах и обязанностях работника и работодателя, то в первую очередь речь идет о статьях 21 и 22 ТК РФ. Так, например, согласно статье 21 ТК РФ работник обязан соблюдать требования по охране труда и обеспечению безопасности труда. А вот остановиться на этой фразе или углубиться и перечислить такие требования в ПВТР — право работодателя. Что касается фразы «иные вопросы регулирования трудовых отношений у данного работодателя», то здесь может скрываться любой из моментов жизни работника и работодателя, например требования по обеспечению санитарной одеждой и обувью.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>РЕКОМЕНДАЦИЯ</w:t>
      </w:r>
      <w:proofErr w:type="gramStart"/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D3509F">
        <w:rPr>
          <w:rFonts w:ascii="Times New Roman" w:eastAsia="Times New Roman" w:hAnsi="Times New Roman" w:cs="Times New Roman"/>
          <w:sz w:val="24"/>
          <w:szCs w:val="24"/>
        </w:rPr>
        <w:t>ля тех, кто решил пересмотреть действующие ПВТР, рекомендуем вспомнить о статье 185.1 ТК РФ (гарантии работникам при прохождении диспансеризации), которая вступила в силу с 1 января 2019 года.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прохождении диспансеризации в порядке, предусмотренном законодательством, работникам гарантировано право на освобождение от работы на один рабочий день один раз в три года с сохранением за ними места работы и среднего заработка. </w:t>
      </w:r>
      <w:proofErr w:type="gramStart"/>
      <w:r w:rsidRPr="00D3509F">
        <w:rPr>
          <w:rFonts w:ascii="Times New Roman" w:eastAsia="Times New Roman" w:hAnsi="Times New Roman" w:cs="Times New Roman"/>
          <w:sz w:val="24"/>
          <w:szCs w:val="24"/>
        </w:rPr>
        <w:t>При этом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диспансеризации, имеют право на освобождение от работы на два рабочих дня один раз в год с сохранением за ними места работы</w:t>
      </w:r>
      <w:proofErr w:type="gramEnd"/>
      <w:r w:rsidRPr="00D3509F">
        <w:rPr>
          <w:rFonts w:ascii="Times New Roman" w:eastAsia="Times New Roman" w:hAnsi="Times New Roman" w:cs="Times New Roman"/>
          <w:sz w:val="24"/>
          <w:szCs w:val="24"/>
        </w:rPr>
        <w:t xml:space="preserve"> (должности) и среднего заработка. Для реализации своих прав работник должен обратиться к работодателю с письменным заявлением.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 xml:space="preserve">Надзорные органы уже с января 2019 </w:t>
      </w:r>
      <w:proofErr w:type="spellStart"/>
      <w:r w:rsidRPr="00D3509F">
        <w:rPr>
          <w:rFonts w:ascii="Times New Roman" w:eastAsia="Times New Roman" w:hAnsi="Times New Roman" w:cs="Times New Roman"/>
          <w:sz w:val="24"/>
          <w:szCs w:val="24"/>
        </w:rPr>
        <w:t>осуществляютс</w:t>
      </w:r>
      <w:proofErr w:type="spellEnd"/>
      <w:r w:rsidRPr="00D3509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проверки. В связи с этим у работодателя есть несколько способов подготовиться к проверке: внести данную информацию в ПВТР, разработав, например, бланк заявления, или внести такую информацию в трудовые договоры работников, путем подписания дополнительных соглашений. Также разрешено рекомендованные дни диспансеризации включать в график отпуска работника.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>Вопросы диспансеризации работодатель может регламентировать внутренними документами только по заявлению работника.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>1. Прохождение диспансеризации — это право, а не обязанность работника.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>2. Работник может передумать или не пройти диспансеризацию по причине отсутствия в поликлинике конкретного врача-специалиста.</w:t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</w:r>
      <w:r w:rsidRPr="00D3509F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известно, соблюдение установленного графика отпусков — обязанность, как работника, так и работодателя, а перенос по желанию одной из сторон или по соглашению должен быть предусмотрен локальными актами. </w:t>
      </w:r>
    </w:p>
    <w:p w:rsidR="007F10D0" w:rsidRDefault="007F10D0"/>
    <w:sectPr w:rsidR="007F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509F"/>
    <w:rsid w:val="007F10D0"/>
    <w:rsid w:val="00D3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5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50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D35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2021-09-30T10:24:00Z</dcterms:created>
  <dcterms:modified xsi:type="dcterms:W3CDTF">2021-09-30T10:25:00Z</dcterms:modified>
</cp:coreProperties>
</file>