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28BD" w:rsidRDefault="007D28BD">
      <w:pPr>
        <w:rPr>
          <w:b/>
        </w:rPr>
      </w:pPr>
    </w:p>
    <w:p w:rsidR="007D28BD" w:rsidRDefault="007D28BD">
      <w:pPr>
        <w:pStyle w:val="ae"/>
        <w:tabs>
          <w:tab w:val="left" w:pos="1594"/>
        </w:tabs>
        <w:rPr>
          <w:b/>
          <w:sz w:val="16"/>
          <w:szCs w:val="16"/>
        </w:rPr>
      </w:pPr>
    </w:p>
    <w:p w:rsidR="007D28BD" w:rsidRPr="00F94C91" w:rsidRDefault="007D28BD">
      <w:pPr>
        <w:pStyle w:val="af1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1A4EE3" w:rsidRPr="001A4EE3" w:rsidRDefault="001A4EE3" w:rsidP="001A4EE3">
      <w:pPr>
        <w:ind w:firstLine="708"/>
        <w:jc w:val="center"/>
        <w:rPr>
          <w:b/>
        </w:rPr>
      </w:pPr>
      <w:r w:rsidRPr="001A4EE3">
        <w:rPr>
          <w:b/>
        </w:rPr>
        <w:t>Маркировка упакованной воды</w:t>
      </w:r>
    </w:p>
    <w:p w:rsidR="001A4EE3" w:rsidRDefault="001A4EE3" w:rsidP="001A4EE3">
      <w:pPr>
        <w:ind w:firstLine="708"/>
        <w:jc w:val="center"/>
        <w:rPr>
          <w:rFonts w:ascii="PT Astra Serif" w:hAnsi="PT Astra Serif"/>
          <w:spacing w:val="70"/>
          <w:sz w:val="26"/>
          <w:szCs w:val="26"/>
        </w:rPr>
      </w:pPr>
    </w:p>
    <w:p w:rsidR="001A4EE3" w:rsidRPr="001A4EE3" w:rsidRDefault="001A4EE3" w:rsidP="001A4EE3">
      <w:pPr>
        <w:ind w:firstLine="708"/>
        <w:jc w:val="center"/>
        <w:rPr>
          <w:sz w:val="26"/>
          <w:szCs w:val="26"/>
        </w:rPr>
      </w:pPr>
      <w:r w:rsidRPr="001A4EE3">
        <w:rPr>
          <w:sz w:val="26"/>
          <w:szCs w:val="26"/>
        </w:rPr>
        <w:t>Уважаемые предприниматели!</w:t>
      </w:r>
    </w:p>
    <w:p w:rsidR="00D96C20" w:rsidRPr="00F94C91" w:rsidRDefault="001A4EE3" w:rsidP="00D96C20">
      <w:pPr>
        <w:ind w:firstLine="708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70"/>
          <w:sz w:val="26"/>
          <w:szCs w:val="26"/>
        </w:rPr>
        <w:t>В</w:t>
      </w:r>
      <w:r w:rsidR="00D96C20" w:rsidRPr="00F94C91">
        <w:rPr>
          <w:rFonts w:ascii="PT Astra Serif" w:hAnsi="PT Astra Serif"/>
          <w:spacing w:val="70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соответствии</w:t>
      </w:r>
      <w:r w:rsidR="00D96C20" w:rsidRPr="00F94C91">
        <w:rPr>
          <w:rFonts w:ascii="PT Astra Serif" w:hAnsi="PT Astra Serif"/>
          <w:spacing w:val="7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</w:t>
      </w:r>
      <w:r w:rsidR="00D96C20" w:rsidRPr="00F94C91">
        <w:rPr>
          <w:rFonts w:ascii="PT Astra Serif" w:hAnsi="PT Astra Serif"/>
          <w:spacing w:val="70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постановлением</w:t>
      </w:r>
      <w:r w:rsidR="00D96C20" w:rsidRPr="00F94C91">
        <w:rPr>
          <w:rFonts w:ascii="PT Astra Serif" w:hAnsi="PT Astra Serif"/>
          <w:spacing w:val="70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Правительства</w:t>
      </w:r>
      <w:r w:rsidR="00D96C20" w:rsidRPr="00F94C91">
        <w:rPr>
          <w:rFonts w:ascii="PT Astra Serif" w:hAnsi="PT Astra Serif"/>
          <w:spacing w:val="70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Российской Федерации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от 31 мая 2021 года № 841 «Об утверждении Правил маркировки упакованной воды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средствами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идентификации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и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особенностях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внедрения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государственной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информационной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системы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мониторинга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за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оборотом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товаров,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подлежащих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обязательной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маркировке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средствами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идентификации,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в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отношении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упакованной</w:t>
      </w:r>
      <w:r w:rsidR="00D96C20" w:rsidRPr="00F94C91">
        <w:rPr>
          <w:rFonts w:ascii="PT Astra Serif" w:hAnsi="PT Astra Serif"/>
          <w:spacing w:val="-6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воды</w:t>
      </w:r>
      <w:r w:rsidR="00D96C20" w:rsidRPr="001A4EE3">
        <w:rPr>
          <w:rFonts w:ascii="PT Astra Serif" w:hAnsi="PT Astra Serif"/>
          <w:b/>
          <w:sz w:val="26"/>
          <w:szCs w:val="26"/>
          <w:u w:val="single"/>
        </w:rPr>
        <w:t xml:space="preserve">» </w:t>
      </w:r>
      <w:r w:rsidR="00D96C20" w:rsidRPr="001A4EE3">
        <w:rPr>
          <w:rFonts w:ascii="PT Astra Serif" w:hAnsi="PT Astra Serif"/>
          <w:b/>
          <w:spacing w:val="-68"/>
          <w:sz w:val="26"/>
          <w:szCs w:val="26"/>
          <w:u w:val="single"/>
        </w:rPr>
        <w:t xml:space="preserve"> </w:t>
      </w:r>
      <w:r w:rsidR="00D96C20" w:rsidRPr="001A4EE3">
        <w:rPr>
          <w:rFonts w:ascii="PT Astra Serif" w:hAnsi="PT Astra Serif"/>
          <w:b/>
          <w:sz w:val="26"/>
          <w:szCs w:val="26"/>
          <w:u w:val="single"/>
        </w:rPr>
        <w:t>с</w:t>
      </w:r>
      <w:r w:rsidR="00D96C20" w:rsidRPr="001A4EE3">
        <w:rPr>
          <w:rFonts w:ascii="PT Astra Serif" w:hAnsi="PT Astra Serif"/>
          <w:b/>
          <w:spacing w:val="-15"/>
          <w:sz w:val="26"/>
          <w:szCs w:val="26"/>
          <w:u w:val="single"/>
        </w:rPr>
        <w:t xml:space="preserve"> </w:t>
      </w:r>
      <w:r w:rsidR="00D96C20" w:rsidRPr="001A4EE3">
        <w:rPr>
          <w:rFonts w:ascii="PT Astra Serif" w:hAnsi="PT Astra Serif"/>
          <w:b/>
          <w:sz w:val="26"/>
          <w:szCs w:val="26"/>
          <w:u w:val="single"/>
        </w:rPr>
        <w:t>1</w:t>
      </w:r>
      <w:r w:rsidR="00D96C20" w:rsidRPr="001A4EE3">
        <w:rPr>
          <w:rFonts w:ascii="PT Astra Serif" w:hAnsi="PT Astra Serif"/>
          <w:b/>
          <w:spacing w:val="-15"/>
          <w:sz w:val="26"/>
          <w:szCs w:val="26"/>
          <w:u w:val="single"/>
        </w:rPr>
        <w:t xml:space="preserve"> </w:t>
      </w:r>
      <w:r w:rsidR="00D96C20" w:rsidRPr="001A4EE3">
        <w:rPr>
          <w:rFonts w:ascii="PT Astra Serif" w:hAnsi="PT Astra Serif"/>
          <w:b/>
          <w:sz w:val="26"/>
          <w:szCs w:val="26"/>
          <w:u w:val="single"/>
        </w:rPr>
        <w:t>ноября</w:t>
      </w:r>
      <w:r w:rsidR="00D96C20" w:rsidRPr="001A4EE3">
        <w:rPr>
          <w:rFonts w:ascii="PT Astra Serif" w:hAnsi="PT Astra Serif"/>
          <w:b/>
          <w:spacing w:val="-16"/>
          <w:sz w:val="26"/>
          <w:szCs w:val="26"/>
          <w:u w:val="single"/>
        </w:rPr>
        <w:t xml:space="preserve"> </w:t>
      </w:r>
      <w:r w:rsidR="00D96C20" w:rsidRPr="001A4EE3">
        <w:rPr>
          <w:rFonts w:ascii="PT Astra Serif" w:hAnsi="PT Astra Serif"/>
          <w:b/>
          <w:sz w:val="26"/>
          <w:szCs w:val="26"/>
          <w:u w:val="single"/>
        </w:rPr>
        <w:t>2022</w:t>
      </w:r>
      <w:r w:rsidR="00D96C20" w:rsidRPr="001A4EE3">
        <w:rPr>
          <w:rFonts w:ascii="PT Astra Serif" w:hAnsi="PT Astra Serif"/>
          <w:b/>
          <w:spacing w:val="-14"/>
          <w:sz w:val="26"/>
          <w:szCs w:val="26"/>
          <w:u w:val="single"/>
        </w:rPr>
        <w:t xml:space="preserve"> </w:t>
      </w:r>
      <w:r w:rsidR="00D96C20" w:rsidRPr="001A4EE3">
        <w:rPr>
          <w:rFonts w:ascii="PT Astra Serif" w:hAnsi="PT Astra Serif"/>
          <w:b/>
          <w:sz w:val="26"/>
          <w:szCs w:val="26"/>
          <w:u w:val="single"/>
        </w:rPr>
        <w:t>г</w:t>
      </w:r>
      <w:r w:rsidR="00F94C91" w:rsidRPr="001A4EE3">
        <w:rPr>
          <w:rFonts w:ascii="PT Astra Serif" w:hAnsi="PT Astra Serif"/>
          <w:b/>
          <w:sz w:val="26"/>
          <w:szCs w:val="26"/>
          <w:u w:val="single"/>
        </w:rPr>
        <w:t>ода</w:t>
      </w:r>
      <w:r w:rsidR="00D96C20" w:rsidRPr="00F94C91">
        <w:rPr>
          <w:rFonts w:ascii="PT Astra Serif" w:hAnsi="PT Astra Serif"/>
          <w:spacing w:val="-14"/>
          <w:sz w:val="26"/>
          <w:szCs w:val="26"/>
        </w:rPr>
        <w:t xml:space="preserve"> </w:t>
      </w:r>
      <w:r w:rsidR="00E66FA6">
        <w:rPr>
          <w:rFonts w:ascii="PT Astra Serif" w:hAnsi="PT Astra Serif"/>
          <w:spacing w:val="-14"/>
          <w:sz w:val="26"/>
          <w:szCs w:val="26"/>
        </w:rPr>
        <w:t>на</w:t>
      </w:r>
      <w:r w:rsidR="00D96C20" w:rsidRPr="00F94C91">
        <w:rPr>
          <w:rFonts w:ascii="PT Astra Serif" w:hAnsi="PT Astra Serif"/>
          <w:sz w:val="26"/>
          <w:szCs w:val="26"/>
        </w:rPr>
        <w:t>ступ</w:t>
      </w:r>
      <w:r w:rsidR="00E66FA6">
        <w:rPr>
          <w:rFonts w:ascii="PT Astra Serif" w:hAnsi="PT Astra Serif"/>
          <w:sz w:val="26"/>
          <w:szCs w:val="26"/>
        </w:rPr>
        <w:t xml:space="preserve">ила </w:t>
      </w:r>
      <w:r w:rsidR="00D96C20" w:rsidRPr="00F94C91">
        <w:rPr>
          <w:rFonts w:ascii="PT Astra Serif" w:hAnsi="PT Astra Serif"/>
          <w:spacing w:val="-14"/>
          <w:sz w:val="26"/>
          <w:szCs w:val="26"/>
        </w:rPr>
        <w:t xml:space="preserve"> </w:t>
      </w:r>
      <w:r w:rsidR="00E66FA6">
        <w:rPr>
          <w:rFonts w:ascii="PT Astra Serif" w:hAnsi="PT Astra Serif"/>
          <w:spacing w:val="-14"/>
          <w:sz w:val="26"/>
          <w:szCs w:val="26"/>
        </w:rPr>
        <w:t>обязанность по</w:t>
      </w:r>
      <w:r w:rsidR="00D96C20" w:rsidRPr="00F94C91">
        <w:rPr>
          <w:rFonts w:ascii="PT Astra Serif" w:hAnsi="PT Astra Serif"/>
          <w:spacing w:val="-13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передаче</w:t>
      </w:r>
      <w:r w:rsidR="00D96C20" w:rsidRPr="00F94C91">
        <w:rPr>
          <w:rFonts w:ascii="PT Astra Serif" w:hAnsi="PT Astra Serif"/>
          <w:spacing w:val="-15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в</w:t>
      </w:r>
      <w:r w:rsidR="00D96C20" w:rsidRPr="00F94C91">
        <w:rPr>
          <w:rFonts w:ascii="PT Astra Serif" w:hAnsi="PT Astra Serif"/>
          <w:spacing w:val="-1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информационную</w:t>
      </w:r>
      <w:r w:rsidR="00D96C20" w:rsidRPr="00F94C91">
        <w:rPr>
          <w:rFonts w:ascii="PT Astra Serif" w:hAnsi="PT Astra Serif"/>
          <w:spacing w:val="-15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систему</w:t>
      </w:r>
      <w:r w:rsidR="00D96C20" w:rsidRPr="00F94C91">
        <w:rPr>
          <w:rFonts w:ascii="PT Astra Serif" w:hAnsi="PT Astra Serif"/>
          <w:spacing w:val="-68"/>
          <w:sz w:val="26"/>
          <w:szCs w:val="26"/>
        </w:rPr>
        <w:t xml:space="preserve"> </w:t>
      </w:r>
      <w:r w:rsidR="00E66FA6">
        <w:rPr>
          <w:rFonts w:ascii="PT Astra Serif" w:hAnsi="PT Astra Serif"/>
          <w:spacing w:val="-68"/>
          <w:sz w:val="26"/>
          <w:szCs w:val="26"/>
        </w:rPr>
        <w:t xml:space="preserve">       </w:t>
      </w:r>
      <w:r w:rsidR="00D96C20" w:rsidRPr="00F94C91">
        <w:rPr>
          <w:rFonts w:ascii="PT Astra Serif" w:hAnsi="PT Astra Serif"/>
          <w:sz w:val="26"/>
          <w:szCs w:val="26"/>
        </w:rPr>
        <w:t>маркировки сведений об обороте упакованной воды в разрезе количества и кода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товара,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передаваемых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в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составе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универсального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передаточного</w:t>
      </w:r>
      <w:r w:rsidR="00D96C20" w:rsidRPr="00F94C91">
        <w:rPr>
          <w:rFonts w:ascii="PT Astra Serif" w:hAnsi="PT Astra Serif"/>
          <w:spacing w:val="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документа</w:t>
      </w:r>
      <w:r w:rsidR="00D96C20" w:rsidRPr="00F94C91">
        <w:rPr>
          <w:rFonts w:ascii="PT Astra Serif" w:hAnsi="PT Astra Serif"/>
          <w:spacing w:val="-6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посредством</w:t>
      </w:r>
      <w:r w:rsidR="00D96C20" w:rsidRPr="00F94C91">
        <w:rPr>
          <w:rFonts w:ascii="PT Astra Serif" w:hAnsi="PT Astra Serif"/>
          <w:spacing w:val="22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электронного</w:t>
      </w:r>
      <w:r w:rsidR="00D96C20" w:rsidRPr="00F94C91">
        <w:rPr>
          <w:rFonts w:ascii="PT Astra Serif" w:hAnsi="PT Astra Serif"/>
          <w:spacing w:val="92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документооборота,</w:t>
      </w:r>
      <w:r w:rsidR="00D96C20" w:rsidRPr="00F94C91">
        <w:rPr>
          <w:rFonts w:ascii="PT Astra Serif" w:hAnsi="PT Astra Serif"/>
          <w:spacing w:val="90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а</w:t>
      </w:r>
      <w:r w:rsidR="00D96C20" w:rsidRPr="00F94C91">
        <w:rPr>
          <w:rFonts w:ascii="PT Astra Serif" w:hAnsi="PT Astra Serif"/>
          <w:spacing w:val="92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также</w:t>
      </w:r>
      <w:r w:rsidR="00D96C20" w:rsidRPr="00F94C91">
        <w:rPr>
          <w:rFonts w:ascii="PT Astra Serif" w:hAnsi="PT Astra Serif"/>
          <w:spacing w:val="9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сведения</w:t>
      </w:r>
      <w:r w:rsidR="00C02EBA">
        <w:rPr>
          <w:rFonts w:ascii="PT Astra Serif" w:hAnsi="PT Astra Serif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pacing w:val="-68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</w:t>
      </w:r>
      <w:r w:rsidR="00D96C20" w:rsidRPr="00F94C91">
        <w:rPr>
          <w:rFonts w:ascii="PT Astra Serif" w:hAnsi="PT Astra Serif"/>
          <w:spacing w:val="-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выводе</w:t>
      </w:r>
      <w:r w:rsidR="00D96C20" w:rsidRPr="00F94C91">
        <w:rPr>
          <w:rFonts w:ascii="PT Astra Serif" w:hAnsi="PT Astra Serif"/>
          <w:spacing w:val="-3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из</w:t>
      </w:r>
      <w:r w:rsidR="00D96C20" w:rsidRPr="00F94C91">
        <w:rPr>
          <w:rFonts w:ascii="PT Astra Serif" w:hAnsi="PT Astra Serif"/>
          <w:spacing w:val="-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оборота</w:t>
      </w:r>
      <w:r w:rsidR="00D96C20" w:rsidRPr="00F94C91">
        <w:rPr>
          <w:rFonts w:ascii="PT Astra Serif" w:hAnsi="PT Astra Serif"/>
          <w:spacing w:val="-3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путем,</w:t>
      </w:r>
      <w:r w:rsidR="00D96C20" w:rsidRPr="00F94C91">
        <w:rPr>
          <w:rFonts w:ascii="PT Astra Serif" w:hAnsi="PT Astra Serif"/>
          <w:spacing w:val="-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не</w:t>
      </w:r>
      <w:r w:rsidR="00D96C20" w:rsidRPr="00F94C91">
        <w:rPr>
          <w:rFonts w:ascii="PT Astra Serif" w:hAnsi="PT Astra Serif"/>
          <w:spacing w:val="-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являющимся</w:t>
      </w:r>
      <w:r w:rsidR="00D96C20" w:rsidRPr="00F94C91">
        <w:rPr>
          <w:rFonts w:ascii="PT Astra Serif" w:hAnsi="PT Astra Serif"/>
          <w:spacing w:val="-1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продажей в</w:t>
      </w:r>
      <w:r w:rsidR="00D96C20" w:rsidRPr="00F94C91">
        <w:rPr>
          <w:rFonts w:ascii="PT Astra Serif" w:hAnsi="PT Astra Serif"/>
          <w:spacing w:val="-4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розницу.</w:t>
      </w:r>
    </w:p>
    <w:p w:rsidR="001A4EE3" w:rsidRDefault="001A4EE3" w:rsidP="00F94C91">
      <w:pPr>
        <w:ind w:firstLine="708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</w:t>
      </w:r>
      <w:r w:rsidR="00D96C20" w:rsidRPr="00F94C91">
        <w:rPr>
          <w:rFonts w:ascii="PT Astra Serif" w:hAnsi="PT Astra Serif"/>
          <w:sz w:val="26"/>
          <w:szCs w:val="26"/>
        </w:rPr>
        <w:t xml:space="preserve"> случае возникновения вопросов и сложностей</w:t>
      </w:r>
      <w:r w:rsidR="00D96C20" w:rsidRPr="00F94C91">
        <w:rPr>
          <w:rFonts w:ascii="PT Astra Serif" w:hAnsi="PT Astra Serif"/>
          <w:spacing w:val="-6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pacing w:val="-1"/>
          <w:sz w:val="26"/>
          <w:szCs w:val="26"/>
        </w:rPr>
        <w:t>при</w:t>
      </w:r>
      <w:r w:rsidR="00D96C20" w:rsidRPr="00F94C91">
        <w:rPr>
          <w:rFonts w:ascii="PT Astra Serif" w:hAnsi="PT Astra Serif"/>
          <w:spacing w:val="-1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pacing w:val="-1"/>
          <w:sz w:val="26"/>
          <w:szCs w:val="26"/>
        </w:rPr>
        <w:t>работе</w:t>
      </w:r>
      <w:r w:rsidR="00D96C20" w:rsidRPr="00F94C91">
        <w:rPr>
          <w:rFonts w:ascii="PT Astra Serif" w:hAnsi="PT Astra Serif"/>
          <w:spacing w:val="-1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</w:t>
      </w:r>
      <w:r w:rsidR="00D96C20" w:rsidRPr="00F94C91">
        <w:rPr>
          <w:rFonts w:ascii="PT Astra Serif" w:hAnsi="PT Astra Serif"/>
          <w:spacing w:val="-1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информационной</w:t>
      </w:r>
      <w:r w:rsidR="00D96C20" w:rsidRPr="00F94C91">
        <w:rPr>
          <w:rFonts w:ascii="PT Astra Serif" w:hAnsi="PT Astra Serif"/>
          <w:spacing w:val="-1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системой</w:t>
      </w:r>
      <w:r w:rsidR="00D96C20" w:rsidRPr="00F94C91">
        <w:rPr>
          <w:rFonts w:ascii="PT Astra Serif" w:hAnsi="PT Astra Serif"/>
          <w:spacing w:val="-16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маркировки</w:t>
      </w:r>
      <w:r w:rsidR="00D96C20" w:rsidRPr="00F94C91">
        <w:rPr>
          <w:rFonts w:ascii="PT Astra Serif" w:hAnsi="PT Astra Serif"/>
          <w:spacing w:val="-1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участник</w:t>
      </w:r>
      <w:r w:rsidR="00D96C20" w:rsidRPr="00F94C91">
        <w:rPr>
          <w:rFonts w:ascii="PT Astra Serif" w:hAnsi="PT Astra Serif"/>
          <w:spacing w:val="-20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оборота</w:t>
      </w:r>
      <w:r w:rsidR="00D96C20" w:rsidRPr="00F94C91">
        <w:rPr>
          <w:rFonts w:ascii="PT Astra Serif" w:hAnsi="PT Astra Serif"/>
          <w:spacing w:val="-17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товаров</w:t>
      </w:r>
      <w:r w:rsidR="00D96C20" w:rsidRPr="00F94C91">
        <w:rPr>
          <w:rFonts w:ascii="PT Astra Serif" w:hAnsi="PT Astra Serif"/>
          <w:spacing w:val="-20"/>
          <w:sz w:val="26"/>
          <w:szCs w:val="26"/>
        </w:rPr>
        <w:t xml:space="preserve"> </w:t>
      </w:r>
      <w:r w:rsidR="00D96C20" w:rsidRPr="00F94C91">
        <w:rPr>
          <w:rFonts w:ascii="PT Astra Serif" w:hAnsi="PT Astra Serif"/>
          <w:sz w:val="26"/>
          <w:szCs w:val="26"/>
        </w:rPr>
        <w:t>может</w:t>
      </w:r>
      <w:r w:rsidR="00D96C20" w:rsidRPr="00F94C91">
        <w:rPr>
          <w:rFonts w:ascii="PT Astra Serif" w:hAnsi="PT Astra Serif"/>
          <w:spacing w:val="-68"/>
          <w:sz w:val="26"/>
          <w:szCs w:val="26"/>
        </w:rPr>
        <w:t xml:space="preserve"> </w:t>
      </w:r>
      <w:r>
        <w:rPr>
          <w:rFonts w:ascii="PT Astra Serif" w:hAnsi="PT Astra Serif"/>
          <w:spacing w:val="-68"/>
          <w:sz w:val="26"/>
          <w:szCs w:val="26"/>
        </w:rPr>
        <w:t xml:space="preserve">  </w:t>
      </w:r>
      <w:r>
        <w:rPr>
          <w:rFonts w:ascii="PT Astra Serif" w:hAnsi="PT Astra Serif"/>
          <w:sz w:val="26"/>
          <w:szCs w:val="26"/>
        </w:rPr>
        <w:t xml:space="preserve"> о</w:t>
      </w:r>
      <w:r w:rsidR="00D96C20" w:rsidRPr="00F94C91">
        <w:rPr>
          <w:rFonts w:ascii="PT Astra Serif" w:hAnsi="PT Astra Serif"/>
          <w:sz w:val="26"/>
          <w:szCs w:val="26"/>
        </w:rPr>
        <w:t xml:space="preserve">братиться </w:t>
      </w:r>
      <w:r w:rsidR="0079263A">
        <w:rPr>
          <w:rFonts w:ascii="PT Astra Serif" w:hAnsi="PT Astra Serif"/>
          <w:sz w:val="26"/>
          <w:szCs w:val="26"/>
        </w:rPr>
        <w:t xml:space="preserve">на электронный адрес товарной группы «Вода» </w:t>
      </w:r>
      <w:r w:rsidR="00D96C20" w:rsidRPr="00F94C91">
        <w:rPr>
          <w:rFonts w:ascii="PT Astra Serif" w:hAnsi="PT Astra Serif"/>
          <w:sz w:val="26"/>
          <w:szCs w:val="26"/>
        </w:rPr>
        <w:t xml:space="preserve">Оператора </w:t>
      </w:r>
      <w:hyperlink r:id="rId7" w:history="1">
        <w:r w:rsidR="0079263A" w:rsidRPr="004C7CB2">
          <w:rPr>
            <w:rStyle w:val="a7"/>
            <w:rFonts w:ascii="PT Astra Serif" w:hAnsi="PT Astra Serif"/>
            <w:sz w:val="26"/>
            <w:szCs w:val="26"/>
            <w:lang w:val="en-US"/>
          </w:rPr>
          <w:t>water</w:t>
        </w:r>
        <w:r w:rsidR="0079263A" w:rsidRPr="004C7CB2">
          <w:rPr>
            <w:rStyle w:val="a7"/>
            <w:rFonts w:ascii="PT Astra Serif" w:hAnsi="PT Astra Serif"/>
            <w:sz w:val="26"/>
            <w:szCs w:val="26"/>
          </w:rPr>
          <w:t>@crpt.ru</w:t>
        </w:r>
      </w:hyperlink>
      <w:r w:rsidR="00D96C20" w:rsidRPr="00F94C91">
        <w:rPr>
          <w:rFonts w:ascii="PT Astra Serif" w:hAnsi="PT Astra Serif"/>
          <w:sz w:val="26"/>
          <w:szCs w:val="26"/>
        </w:rPr>
        <w:t>.</w:t>
      </w:r>
      <w:r w:rsidR="0079263A" w:rsidRPr="0079263A">
        <w:rPr>
          <w:rFonts w:ascii="PT Astra Serif" w:hAnsi="PT Astra Serif"/>
          <w:sz w:val="26"/>
          <w:szCs w:val="26"/>
        </w:rPr>
        <w:t xml:space="preserve"> </w:t>
      </w:r>
    </w:p>
    <w:p w:rsidR="00D96C20" w:rsidRPr="000C7090" w:rsidRDefault="001A4EE3" w:rsidP="00F94C91">
      <w:pPr>
        <w:ind w:firstLine="708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Дополнительно сообщаем, что п</w:t>
      </w:r>
      <w:r w:rsidRPr="001A4EE3">
        <w:rPr>
          <w:rFonts w:ascii="PT Astra Serif" w:hAnsi="PT Astra Serif"/>
          <w:sz w:val="26"/>
          <w:szCs w:val="26"/>
        </w:rPr>
        <w:t>о средам с 9.30 – 10.30 (МСК) Минпромторг РФ совместно с ЦРПТ проводят встречи по текущему статусу производителей и импортеров упакованной воды</w:t>
      </w:r>
      <w:r>
        <w:rPr>
          <w:rFonts w:ascii="PT Astra Serif" w:hAnsi="PT Astra Serif"/>
          <w:sz w:val="26"/>
          <w:szCs w:val="26"/>
        </w:rPr>
        <w:t xml:space="preserve">. </w:t>
      </w:r>
      <w:r w:rsidR="000C7090" w:rsidRPr="000C7090">
        <w:rPr>
          <w:rFonts w:ascii="PT Astra Serif" w:hAnsi="PT Astra Serif"/>
          <w:sz w:val="26"/>
          <w:szCs w:val="26"/>
        </w:rPr>
        <w:t>С</w:t>
      </w:r>
      <w:r w:rsidR="000C7090">
        <w:rPr>
          <w:rFonts w:ascii="PT Astra Serif" w:hAnsi="PT Astra Serif"/>
          <w:sz w:val="26"/>
          <w:szCs w:val="26"/>
        </w:rPr>
        <w:t xml:space="preserve">сылка и детали для подключения размещены на официальном сайте Оператора в информационно-телекоммуникационной сети «Интернет» по адресу: </w:t>
      </w:r>
      <w:hyperlink r:id="rId8" w:history="1">
        <w:r w:rsidRPr="00A35D49">
          <w:rPr>
            <w:rStyle w:val="a7"/>
            <w:rFonts w:ascii="PT Astra Serif" w:hAnsi="PT Astra Serif"/>
            <w:sz w:val="26"/>
            <w:szCs w:val="26"/>
          </w:rPr>
          <w:t>https://честныйзнак.рф/info/news/priglashaem-uchastnikov-oborota-upakovannoy-vody-na-ezhednevnye-vstrechi-po-tekushchemu-statusu-podg/</w:t>
        </w:r>
      </w:hyperlink>
      <w:r w:rsidR="000C7090">
        <w:rPr>
          <w:rFonts w:ascii="PT Astra Serif" w:hAnsi="PT Astra Serif"/>
          <w:sz w:val="26"/>
          <w:szCs w:val="26"/>
        </w:rPr>
        <w:t>.</w:t>
      </w:r>
    </w:p>
    <w:p w:rsidR="007D28BD" w:rsidRPr="00F94C91" w:rsidRDefault="007D28BD">
      <w:pPr>
        <w:rPr>
          <w:rFonts w:ascii="PT Astra Serif" w:hAnsi="PT Astra Serif"/>
          <w:b/>
          <w:sz w:val="26"/>
          <w:szCs w:val="26"/>
        </w:rPr>
      </w:pPr>
    </w:p>
    <w:sectPr w:rsidR="007D28BD" w:rsidRPr="00F94C91" w:rsidSect="00E11939">
      <w:headerReference w:type="default" r:id="rId9"/>
      <w:pgSz w:w="11906" w:h="16838"/>
      <w:pgMar w:top="284" w:right="851" w:bottom="284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8C" w:rsidRDefault="00FE1E8C">
      <w:r>
        <w:separator/>
      </w:r>
    </w:p>
  </w:endnote>
  <w:endnote w:type="continuationSeparator" w:id="1">
    <w:p w:rsidR="00FE1E8C" w:rsidRDefault="00FE1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8C" w:rsidRDefault="00FE1E8C">
      <w:r>
        <w:separator/>
      </w:r>
    </w:p>
  </w:footnote>
  <w:footnote w:type="continuationSeparator" w:id="1">
    <w:p w:rsidR="00FE1E8C" w:rsidRDefault="00FE1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90" w:rsidRDefault="002A0700">
    <w:pPr>
      <w:pStyle w:val="ae"/>
      <w:jc w:val="center"/>
    </w:pPr>
    <w:fldSimple w:instr=" PAGE ">
      <w:r w:rsidR="000C7090">
        <w:rPr>
          <w:noProof/>
        </w:rPr>
        <w:t>2</w:t>
      </w:r>
    </w:fldSimple>
  </w:p>
  <w:p w:rsidR="000C7090" w:rsidRDefault="000C70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B3123F"/>
    <w:multiLevelType w:val="hybridMultilevel"/>
    <w:tmpl w:val="49B8A7A4"/>
    <w:lvl w:ilvl="0" w:tplc="A7EC7CD0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1EBEC0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2" w:tplc="65F6118E">
      <w:numFmt w:val="bullet"/>
      <w:lvlText w:val="•"/>
      <w:lvlJc w:val="left"/>
      <w:pPr>
        <w:ind w:left="5602" w:hanging="708"/>
      </w:pPr>
      <w:rPr>
        <w:rFonts w:hint="default"/>
        <w:lang w:val="ru-RU" w:eastAsia="en-US" w:bidi="ar-SA"/>
      </w:rPr>
    </w:lvl>
    <w:lvl w:ilvl="3" w:tplc="D8B2A244">
      <w:numFmt w:val="bullet"/>
      <w:lvlText w:val="•"/>
      <w:lvlJc w:val="left"/>
      <w:pPr>
        <w:ind w:left="6204" w:hanging="708"/>
      </w:pPr>
      <w:rPr>
        <w:rFonts w:hint="default"/>
        <w:lang w:val="ru-RU" w:eastAsia="en-US" w:bidi="ar-SA"/>
      </w:rPr>
    </w:lvl>
    <w:lvl w:ilvl="4" w:tplc="8CFADC92">
      <w:numFmt w:val="bullet"/>
      <w:lvlText w:val="•"/>
      <w:lvlJc w:val="left"/>
      <w:pPr>
        <w:ind w:left="6806" w:hanging="708"/>
      </w:pPr>
      <w:rPr>
        <w:rFonts w:hint="default"/>
        <w:lang w:val="ru-RU" w:eastAsia="en-US" w:bidi="ar-SA"/>
      </w:rPr>
    </w:lvl>
    <w:lvl w:ilvl="5" w:tplc="651670AA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6" w:tplc="B9FA4314">
      <w:numFmt w:val="bullet"/>
      <w:lvlText w:val="•"/>
      <w:lvlJc w:val="left"/>
      <w:pPr>
        <w:ind w:left="8011" w:hanging="708"/>
      </w:pPr>
      <w:rPr>
        <w:rFonts w:hint="default"/>
        <w:lang w:val="ru-RU" w:eastAsia="en-US" w:bidi="ar-SA"/>
      </w:rPr>
    </w:lvl>
    <w:lvl w:ilvl="7" w:tplc="D4F43DFC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  <w:lvl w:ilvl="8" w:tplc="43184A56">
      <w:numFmt w:val="bullet"/>
      <w:lvlText w:val="•"/>
      <w:lvlJc w:val="left"/>
      <w:pPr>
        <w:ind w:left="921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39"/>
    <w:rsid w:val="000C7090"/>
    <w:rsid w:val="0011241B"/>
    <w:rsid w:val="001A4EE3"/>
    <w:rsid w:val="002264A1"/>
    <w:rsid w:val="002A0700"/>
    <w:rsid w:val="00314D35"/>
    <w:rsid w:val="00523328"/>
    <w:rsid w:val="005A6B7A"/>
    <w:rsid w:val="00613C02"/>
    <w:rsid w:val="0079263A"/>
    <w:rsid w:val="007D28BD"/>
    <w:rsid w:val="00870AB7"/>
    <w:rsid w:val="00B16476"/>
    <w:rsid w:val="00C02EBA"/>
    <w:rsid w:val="00C92B90"/>
    <w:rsid w:val="00CB6AF7"/>
    <w:rsid w:val="00D96C20"/>
    <w:rsid w:val="00E11939"/>
    <w:rsid w:val="00E66FA6"/>
    <w:rsid w:val="00F94C91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D"/>
    <w:pPr>
      <w:suppressAutoHyphens/>
      <w:jc w:val="both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D28BD"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28BD"/>
  </w:style>
  <w:style w:type="character" w:customStyle="1" w:styleId="a3">
    <w:name w:val="Верхний колонтитул Знак"/>
    <w:basedOn w:val="10"/>
    <w:rsid w:val="007D28BD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10"/>
    <w:rsid w:val="007D28BD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10"/>
    <w:rsid w:val="007D28BD"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10"/>
    <w:rsid w:val="007D28BD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10"/>
    <w:rsid w:val="007D28BD"/>
    <w:rPr>
      <w:sz w:val="22"/>
      <w:szCs w:val="22"/>
      <w:lang w:val="ru-RU" w:bidi="ar-SA"/>
    </w:rPr>
  </w:style>
  <w:style w:type="character" w:styleId="a7">
    <w:name w:val="Hyperlink"/>
    <w:basedOn w:val="10"/>
    <w:rsid w:val="007D28BD"/>
    <w:rPr>
      <w:color w:val="0000FF"/>
      <w:u w:val="single"/>
    </w:rPr>
  </w:style>
  <w:style w:type="character" w:customStyle="1" w:styleId="doccaption">
    <w:name w:val="doccaption"/>
    <w:basedOn w:val="10"/>
    <w:rsid w:val="007D28BD"/>
  </w:style>
  <w:style w:type="character" w:styleId="a8">
    <w:name w:val="Strong"/>
    <w:qFormat/>
    <w:rsid w:val="007D28BD"/>
    <w:rPr>
      <w:b/>
    </w:rPr>
  </w:style>
  <w:style w:type="paragraph" w:customStyle="1" w:styleId="a9">
    <w:name w:val="Заголовок"/>
    <w:basedOn w:val="a"/>
    <w:next w:val="aa"/>
    <w:rsid w:val="007D28BD"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rsid w:val="007D28BD"/>
    <w:pPr>
      <w:spacing w:after="140" w:line="276" w:lineRule="auto"/>
    </w:pPr>
  </w:style>
  <w:style w:type="paragraph" w:styleId="ab">
    <w:name w:val="List"/>
    <w:basedOn w:val="aa"/>
    <w:rsid w:val="007D28BD"/>
    <w:rPr>
      <w:rFonts w:cs="Droid Sans Devanagari"/>
    </w:rPr>
  </w:style>
  <w:style w:type="paragraph" w:styleId="ac">
    <w:name w:val="caption"/>
    <w:basedOn w:val="a"/>
    <w:qFormat/>
    <w:rsid w:val="007D28B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7D28BD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rsid w:val="007D28BD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7D28BD"/>
    <w:pPr>
      <w:jc w:val="left"/>
    </w:pPr>
    <w:rPr>
      <w:rFonts w:eastAsia="Times New Roman"/>
      <w:sz w:val="20"/>
      <w:szCs w:val="24"/>
    </w:rPr>
  </w:style>
  <w:style w:type="paragraph" w:styleId="af">
    <w:name w:val="Balloon Text"/>
    <w:basedOn w:val="a"/>
    <w:rsid w:val="007D28B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7D28BD"/>
  </w:style>
  <w:style w:type="paragraph" w:styleId="af1">
    <w:name w:val="No Spacing"/>
    <w:qFormat/>
    <w:rsid w:val="007D28B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D28B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basedOn w:val="a"/>
    <w:rsid w:val="007D28BD"/>
    <w:pPr>
      <w:autoSpaceDE w:val="0"/>
      <w:jc w:val="left"/>
    </w:pPr>
    <w:rPr>
      <w:color w:val="000000"/>
      <w:sz w:val="24"/>
      <w:szCs w:val="24"/>
    </w:rPr>
  </w:style>
  <w:style w:type="paragraph" w:customStyle="1" w:styleId="22">
    <w:name w:val="Основной текст 22"/>
    <w:basedOn w:val="a"/>
    <w:rsid w:val="007D28BD"/>
    <w:pPr>
      <w:overflowPunct w:val="0"/>
      <w:autoSpaceDE w:val="0"/>
      <w:ind w:firstLine="851"/>
      <w:textAlignment w:val="baseline"/>
    </w:pPr>
    <w:rPr>
      <w:rFonts w:eastAsia="Times New Roman"/>
      <w:b/>
      <w:szCs w:val="20"/>
    </w:rPr>
  </w:style>
  <w:style w:type="paragraph" w:customStyle="1" w:styleId="pa0">
    <w:name w:val="pa0"/>
    <w:basedOn w:val="a"/>
    <w:rsid w:val="007D28BD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ConsPlusTitle">
    <w:name w:val="ConsPlusTitle"/>
    <w:basedOn w:val="a"/>
    <w:rsid w:val="007D28BD"/>
    <w:pPr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f2">
    <w:name w:val="Содержимое таблицы"/>
    <w:basedOn w:val="a"/>
    <w:rsid w:val="007D28BD"/>
    <w:pPr>
      <w:widowControl w:val="0"/>
      <w:suppressLineNumbers/>
    </w:pPr>
  </w:style>
  <w:style w:type="paragraph" w:customStyle="1" w:styleId="af3">
    <w:name w:val="Заголовок таблицы"/>
    <w:basedOn w:val="af2"/>
    <w:rsid w:val="007D28BD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rsid w:val="00D96C20"/>
    <w:pPr>
      <w:widowControl w:val="0"/>
      <w:suppressAutoHyphens w:val="0"/>
      <w:autoSpaceDE w:val="0"/>
      <w:autoSpaceDN w:val="0"/>
      <w:spacing w:before="96"/>
      <w:ind w:left="868" w:hanging="709"/>
      <w:jc w:val="lef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info/news/priglashaem-uchastnikov-oborota-upakovannoy-vody-na-ezhednevnye-vstrechi-po-tekushchemu-statusu-pod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ter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Пользователь Windows</cp:lastModifiedBy>
  <cp:revision>4</cp:revision>
  <cp:lastPrinted>2022-12-20T08:31:00Z</cp:lastPrinted>
  <dcterms:created xsi:type="dcterms:W3CDTF">2022-12-26T06:22:00Z</dcterms:created>
  <dcterms:modified xsi:type="dcterms:W3CDTF">2022-12-26T06:30:00Z</dcterms:modified>
</cp:coreProperties>
</file>