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E" w:rsidRPr="004E5FAA" w:rsidRDefault="001669AE" w:rsidP="002E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  <w:r w:rsidR="008B3C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</w:p>
    <w:p w:rsidR="00AF4473" w:rsidRDefault="00AF4473" w:rsidP="00AF44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473">
        <w:rPr>
          <w:rFonts w:ascii="Times New Roman" w:hAnsi="Times New Roman" w:cs="Times New Roman"/>
          <w:b/>
          <w:bCs/>
          <w:sz w:val="28"/>
          <w:szCs w:val="28"/>
        </w:rPr>
        <w:t>«Укрепление общественного здоровья</w:t>
      </w:r>
    </w:p>
    <w:p w:rsidR="00AF4473" w:rsidRDefault="00AF4473" w:rsidP="00AF44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47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Пугачевского муниципального района </w:t>
      </w:r>
    </w:p>
    <w:p w:rsidR="001669AE" w:rsidRDefault="00AF4473" w:rsidP="00AF44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47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2022-2026 годы»</w:t>
      </w:r>
    </w:p>
    <w:p w:rsidR="00AF4473" w:rsidRPr="00AF4473" w:rsidRDefault="00AF4473" w:rsidP="001669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AA525D" w:rsidP="00F1465E">
            <w:pPr>
              <w:spacing w:after="0" w:line="240" w:lineRule="auto"/>
              <w:jc w:val="both"/>
            </w:pP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 территории Пугачевского муниципального района Саратовской области на 2022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-2026 </w:t>
            </w:r>
            <w:r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F1465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1669A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(далее – муниципальная программа);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873DB6" w:rsidP="001669AE">
            <w:pPr>
              <w:spacing w:after="0" w:line="240" w:lineRule="auto"/>
              <w:jc w:val="both"/>
            </w:pPr>
            <w:r w:rsidRPr="00873DB6">
              <w:rPr>
                <w:rFonts w:ascii="Times New Roman" w:hAnsi="Times New Roman" w:cs="Times New Roman"/>
                <w:bCs/>
                <w:sz w:val="28"/>
                <w:szCs w:val="28"/>
              </w:rPr>
              <w:t>отдел молодежной политики, спорта и туризма администрации Пугачевского муниципального района</w:t>
            </w:r>
            <w:r w:rsidR="00D374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B52" w:rsidRPr="005418B2" w:rsidRDefault="001E1AD9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«Редакция «Новое Заволжье» Пугачевского муниципального района Саратовской области (далее</w:t>
            </w:r>
            <w:r w:rsidR="0053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МУП «Редакция «Новое Заволжье»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EFE"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Pr="005418B2" w:rsidRDefault="000527A4" w:rsidP="0054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Саратовской области «Комплексный центр социального обслуживания населения Пугачевского района»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(дале</w:t>
            </w:r>
            <w:proofErr w:type="gramStart"/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ГАУ СО «</w:t>
            </w:r>
            <w:r w:rsidR="000A7D61" w:rsidRPr="005418B2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="00157935" w:rsidRPr="005418B2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района») (по согласованию)</w:t>
            </w:r>
            <w:r w:rsidRPr="005418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E56" w:rsidRPr="003137F4" w:rsidRDefault="003137F4" w:rsidP="005418B2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труктурные подразделения 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</w:t>
            </w:r>
            <w:r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DF6E56" w:rsidRPr="003137F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Пугачевского муниципального района;</w:t>
            </w:r>
          </w:p>
          <w:p w:rsidR="001669AE" w:rsidRDefault="00DA5546" w:rsidP="00B83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государственное учреждение здравоохранения </w:t>
            </w:r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«Пугачевский межрайонный </w:t>
            </w:r>
            <w:r w:rsidR="00B83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пс</w:t>
            </w:r>
            <w:r w:rsidRPr="00DA55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ихоневрологический диспансер»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(далее</w:t>
            </w:r>
            <w:r w:rsidR="00532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- ГУЗ </w:t>
            </w:r>
            <w:proofErr w:type="gramStart"/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СО</w:t>
            </w:r>
            <w:proofErr w:type="gramEnd"/>
            <w:r w:rsidR="00A624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 w:rsidR="00DF6E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«Пугачевский межрайонный ПНД») (по согласованию)</w:t>
            </w:r>
            <w:r w:rsidR="001A1A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;</w:t>
            </w:r>
          </w:p>
          <w:p w:rsidR="00AD7EFE" w:rsidRDefault="00DF6E56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государственное учреждение здравоохранения</w:t>
            </w:r>
            <w:r w:rsidR="005322D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32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Саратовской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Пугачевская районная больница» (далее -</w:t>
            </w:r>
            <w:r w:rsidR="00166B6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ГУЗ </w:t>
            </w:r>
            <w:proofErr w:type="gramStart"/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</w:t>
            </w:r>
            <w:proofErr w:type="gramEnd"/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«Пугачевская РБ»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  <w:r w:rsidR="00AD7EFE" w:rsidRPr="00AD7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440EC" w:rsidRPr="007440EC" w:rsidRDefault="007440EC" w:rsidP="00AD7EF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440E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работодатели (по согласованию);</w:t>
            </w:r>
          </w:p>
          <w:p w:rsidR="00AD7EFE" w:rsidRDefault="00AD7EFE" w:rsidP="00B83059">
            <w:pPr>
              <w:spacing w:after="0" w:line="240" w:lineRule="auto"/>
              <w:jc w:val="both"/>
            </w:pP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484EAC" w:rsidP="001669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A525D" w:rsidRPr="00AA525D"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="00AA525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FA7021" w:rsidRDefault="00AA525D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      </w:r>
            <w:r w:rsidR="005418B2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, продление активного долголетия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662511" w:rsidRDefault="00AA525D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F3" w:rsidRPr="00B83059" w:rsidRDefault="00AD7EF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B83059" w:rsidRPr="00B83059">
              <w:rPr>
                <w:rFonts w:ascii="Times New Roman" w:eastAsia="Times New Roman" w:hAnsi="Times New Roman" w:cs="Times New Roman"/>
                <w:sz w:val="28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355A7F" w:rsidP="001669AE">
            <w:pPr>
              <w:spacing w:after="0" w:line="240" w:lineRule="auto"/>
              <w:jc w:val="both"/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2022-2026 годы</w:t>
            </w:r>
            <w:r w:rsidR="005322DD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8B2" w:rsidRDefault="001A1A6F" w:rsidP="001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</w:t>
            </w:r>
            <w:r w:rsidRPr="001A1A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01EA2" w:rsidRPr="00B704B5" w:rsidRDefault="001A1A6F" w:rsidP="001A1A6F">
            <w:pPr>
              <w:spacing w:after="0" w:line="240" w:lineRule="auto"/>
            </w:pPr>
            <w:r w:rsidRPr="00AD7EFE">
              <w:rPr>
                <w:rFonts w:ascii="Times New Roman" w:hAnsi="Times New Roman"/>
                <w:sz w:val="28"/>
                <w:szCs w:val="28"/>
              </w:rPr>
              <w:t>0,0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внебюджетных источников;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E4196" w:rsidRDefault="001669AE" w:rsidP="001669AE">
            <w:pPr>
              <w:spacing w:after="0" w:line="240" w:lineRule="auto"/>
            </w:pPr>
            <w:r w:rsidRPr="005E4196"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323" w:rsidRPr="00AD7EFE" w:rsidRDefault="00166B66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>
              <w:rPr>
                <w:rStyle w:val="FontStyle42"/>
                <w:color w:val="auto"/>
                <w:sz w:val="28"/>
                <w:szCs w:val="28"/>
              </w:rPr>
              <w:t>в</w:t>
            </w:r>
            <w:r w:rsidR="00F02323" w:rsidRPr="00AD7EFE">
              <w:rPr>
                <w:rStyle w:val="FontStyle42"/>
                <w:color w:val="auto"/>
                <w:sz w:val="28"/>
                <w:szCs w:val="28"/>
              </w:rPr>
              <w:t xml:space="preserve"> результате реализации планируется достижение следующих конечных результатов муниципальной программы: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обеспечение охвата населения ежегодными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профилактическими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осмотрам</w:t>
            </w:r>
            <w:r w:rsidR="00EF7044" w:rsidRPr="00AD7EFE">
              <w:rPr>
                <w:rStyle w:val="FontStyle42"/>
                <w:color w:val="auto"/>
                <w:sz w:val="28"/>
                <w:szCs w:val="28"/>
              </w:rPr>
              <w:t xml:space="preserve">и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и диспансеризацией;</w:t>
            </w:r>
          </w:p>
          <w:p w:rsidR="005418B2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увеличение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доли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r w:rsidR="00AD7EFE">
              <w:rPr>
                <w:rStyle w:val="FontStyle42"/>
                <w:color w:val="auto"/>
                <w:sz w:val="28"/>
                <w:szCs w:val="28"/>
              </w:rPr>
              <w:t xml:space="preserve">Пугачевского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муниципального района;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 количества информационных профилактических материалов по вопросам профилактики неинфекционных и социально-значимых заболеваний и пропаганды (листовки, буклеты, плакаты, газеты);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>увеличение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количества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электронных,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текстовых, графических видеоматериалов профилактической направленности, размещенных в сети «Интернет»;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увеличение количества организаций и предприятий, участвующих в разработке и внедрении корпоративных программ «Укрепление здоровья работающих»;</w:t>
            </w:r>
          </w:p>
          <w:p w:rsidR="00F02323" w:rsidRPr="00AD7EFE" w:rsidRDefault="00F02323" w:rsidP="00F02323">
            <w:pPr>
              <w:pStyle w:val="ConsPlusCell"/>
              <w:suppressAutoHyphens/>
              <w:jc w:val="both"/>
              <w:rPr>
                <w:rStyle w:val="FontStyle42"/>
                <w:color w:val="auto"/>
                <w:sz w:val="28"/>
                <w:szCs w:val="28"/>
              </w:rPr>
            </w:pPr>
            <w:r w:rsidRPr="00AD7EFE">
              <w:rPr>
                <w:rStyle w:val="FontStyle42"/>
                <w:color w:val="auto"/>
                <w:sz w:val="28"/>
                <w:szCs w:val="28"/>
              </w:rPr>
              <w:t xml:space="preserve"> формирование системы мотивации граждан к ведению здорового образа жизни, включая здоровое питание, регулярную двигательную активность, занятия физической</w:t>
            </w:r>
            <w:r w:rsidR="005418B2">
              <w:rPr>
                <w:rStyle w:val="FontStyle42"/>
                <w:color w:val="auto"/>
                <w:sz w:val="28"/>
                <w:szCs w:val="28"/>
              </w:rPr>
              <w:t xml:space="preserve"> </w:t>
            </w:r>
            <w:r w:rsidRPr="00AD7EFE">
              <w:rPr>
                <w:rStyle w:val="FontStyle42"/>
                <w:color w:val="auto"/>
                <w:sz w:val="28"/>
                <w:szCs w:val="28"/>
              </w:rPr>
              <w:t>культурой и спортом, отказ от вредных привычек.</w:t>
            </w:r>
          </w:p>
          <w:p w:rsidR="001669AE" w:rsidRPr="004E5FAA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9AE" w:rsidRDefault="001669AE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A5546"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муниципальной программы</w:t>
      </w:r>
    </w:p>
    <w:p w:rsidR="002F78EF" w:rsidRPr="00DA5546" w:rsidRDefault="002F78EF" w:rsidP="00DA554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A5546" w:rsidRDefault="00DA5546" w:rsidP="00DA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программа «Укрепление общественного здоровья» (далее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Муниципальная программа) разработана в рамках реализации мероприятий регионального проекта «Формирование системы мотивации граждан к </w:t>
      </w: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 регионального проекта «Старшее поколение»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DA5546" w:rsidRDefault="00DA5546" w:rsidP="00DA5546">
      <w:pPr>
        <w:pStyle w:val="-11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Муниципальная программа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диспансеризации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и профилактического медицинского осмотра, 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 xml:space="preserve">в том числе лиц старше 65 лет, </w:t>
      </w:r>
      <w:r>
        <w:rPr>
          <w:rStyle w:val="10"/>
          <w:rFonts w:ascii="Times New Roman" w:hAnsi="Times New Roman" w:cs="Times New Roman"/>
          <w:sz w:val="28"/>
          <w:szCs w:val="28"/>
        </w:rPr>
        <w:t>раннего выявления факторов риска хронических неинфекционных заболеваний и их коррекции.</w:t>
      </w:r>
      <w:proofErr w:type="gramEnd"/>
    </w:p>
    <w:p w:rsidR="00DA5546" w:rsidRDefault="00DA5546" w:rsidP="00DA5546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 </w:t>
      </w:r>
    </w:p>
    <w:p w:rsidR="00366309" w:rsidRDefault="00366309" w:rsidP="00366309">
      <w:pPr>
        <w:pStyle w:val="-11"/>
        <w:spacing w:after="0" w:line="240" w:lineRule="auto"/>
        <w:ind w:left="0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366309" w:rsidRDefault="00366309" w:rsidP="00366309">
      <w:pPr>
        <w:pStyle w:val="-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характеристика Пугачевского </w:t>
      </w:r>
      <w:r w:rsidR="00AD7E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506D87" w:rsidRDefault="00506D8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Пугачёвский </w:t>
      </w:r>
      <w:r w:rsidR="00506D8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sz w:val="28"/>
          <w:szCs w:val="28"/>
        </w:rPr>
        <w:t xml:space="preserve">район расположен в северо-восточной части области. На севере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граничит</w:t>
      </w:r>
      <w:r w:rsidRPr="005A603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востоке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Перелюбским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юге – с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Озинским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031">
        <w:rPr>
          <w:rFonts w:ascii="Times New Roman" w:hAnsi="Times New Roman" w:cs="Times New Roman"/>
          <w:sz w:val="28"/>
          <w:szCs w:val="28"/>
        </w:rPr>
        <w:t>Краснопартизанским</w:t>
      </w:r>
      <w:proofErr w:type="spellEnd"/>
      <w:r w:rsidRPr="005A6031">
        <w:rPr>
          <w:rFonts w:ascii="Times New Roman" w:hAnsi="Times New Roman" w:cs="Times New Roman"/>
          <w:sz w:val="28"/>
          <w:szCs w:val="28"/>
        </w:rPr>
        <w:t xml:space="preserve">, на западе – с Балаковским и Духовницким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районами</w:t>
      </w:r>
      <w:r w:rsidRPr="005A6031">
        <w:rPr>
          <w:rFonts w:ascii="Times New Roman" w:hAnsi="Times New Roman" w:cs="Times New Roman"/>
          <w:sz w:val="28"/>
          <w:szCs w:val="28"/>
        </w:rPr>
        <w:t>. В состав Пугачевского муниципального района входят 9 муниципальных образований (61 населенный пункт).</w:t>
      </w: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Районный центр – город Пугачев, расположенный на правом берегу реки Большой Иргиз, притока Волги, в 240 км от города Саратова.</w:t>
      </w: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Общая площадь земель 390,6 тыс. га, в том числе сельхозугодий 356,3 тыс. га, из них пашня 235,5 тыс. га. Лесные ресурсы 23,5 тыс. га, водные ресурсы 5,1 тыс. га. </w:t>
      </w: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bCs/>
          <w:sz w:val="28"/>
          <w:szCs w:val="28"/>
        </w:rPr>
        <w:t>В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районе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преобладает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умеренно-континентальный</w:t>
      </w:r>
      <w:r w:rsidR="00541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bCs/>
          <w:sz w:val="28"/>
          <w:szCs w:val="28"/>
        </w:rPr>
        <w:t>климат.</w:t>
      </w:r>
      <w:r w:rsidRPr="005A6031">
        <w:rPr>
          <w:rFonts w:ascii="Times New Roman" w:hAnsi="Times New Roman" w:cs="Times New Roman"/>
          <w:sz w:val="28"/>
          <w:szCs w:val="28"/>
        </w:rPr>
        <w:t xml:space="preserve"> Зимы длительные и умеренно холодные. Лето теплое и непродолжительное. Самый теплый месяц июль – средняя температура +24,2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Самый холодный месяц январь – средняя температура -8,8</w:t>
      </w:r>
      <w:r>
        <w:rPr>
          <w:rFonts w:ascii="Times New Roman" w:hAnsi="Times New Roman" w:cs="Times New Roman"/>
          <w:sz w:val="28"/>
          <w:szCs w:val="28"/>
        </w:rPr>
        <w:t>°С</w:t>
      </w:r>
      <w:r w:rsidRPr="005A6031">
        <w:rPr>
          <w:rFonts w:ascii="Times New Roman" w:hAnsi="Times New Roman" w:cs="Times New Roman"/>
          <w:sz w:val="28"/>
          <w:szCs w:val="28"/>
        </w:rPr>
        <w:t>. Среднее годовое количество осадков составляет 586 мм.</w:t>
      </w: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Протяжённость автомобильных дорог на территории Пугачёвского муниципального района составляет 416,59 км. Город Пугачёв транспортными магистралями имеет выход на города: Саратов, Самара, Балаково, Вольск. Пугачёвский железнодорожный узел связывает Центр, Юг и Сибирь России.</w:t>
      </w:r>
    </w:p>
    <w:p w:rsidR="00406047" w:rsidRPr="005A6031" w:rsidRDefault="00406047" w:rsidP="00406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Через центр города проходит федеральная трасса Самара–Пугачев–Энгельс–Волгоград.</w:t>
      </w:r>
    </w:p>
    <w:p w:rsidR="00366309" w:rsidRDefault="00366309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Демографические характеристики</w:t>
      </w:r>
    </w:p>
    <w:p w:rsidR="005418B2" w:rsidRPr="005418B2" w:rsidRDefault="005418B2" w:rsidP="003663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На территории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2021 года проживает 56480 человек, в том числе сельское население — 16055 человек.</w:t>
      </w:r>
    </w:p>
    <w:p w:rsidR="003E0832" w:rsidRPr="005A6031" w:rsidRDefault="003E0832" w:rsidP="003E08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31">
        <w:rPr>
          <w:rFonts w:ascii="Times New Roman" w:hAnsi="Times New Roman" w:cs="Times New Roman"/>
          <w:sz w:val="28"/>
          <w:szCs w:val="28"/>
        </w:rPr>
        <w:t>Численность населения Пугачевского</w:t>
      </w:r>
      <w:r w:rsidR="00506D8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sz w:val="28"/>
          <w:szCs w:val="28"/>
        </w:rPr>
        <w:t xml:space="preserve"> района по полу и </w:t>
      </w:r>
      <w:r w:rsidRPr="005A6031">
        <w:rPr>
          <w:rFonts w:ascii="Times New Roman" w:hAnsi="Times New Roman" w:cs="Times New Roman"/>
          <w:sz w:val="28"/>
          <w:szCs w:val="28"/>
        </w:rPr>
        <w:lastRenderedPageBreak/>
        <w:t xml:space="preserve">возрасту: </w:t>
      </w:r>
      <w:r w:rsidRPr="00506D87">
        <w:rPr>
          <w:rFonts w:ascii="Times New Roman" w:hAnsi="Times New Roman" w:cs="Times New Roman"/>
          <w:iCs/>
          <w:sz w:val="28"/>
          <w:szCs w:val="28"/>
        </w:rPr>
        <w:t>дети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(0-14 лет)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9014 человек, из них мальчики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4497, девочки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4517; </w:t>
      </w:r>
      <w:r w:rsidRPr="00506D87">
        <w:rPr>
          <w:rFonts w:ascii="Times New Roman" w:hAnsi="Times New Roman" w:cs="Times New Roman"/>
          <w:iCs/>
          <w:sz w:val="28"/>
          <w:szCs w:val="28"/>
        </w:rPr>
        <w:t>подростки</w:t>
      </w:r>
      <w:r w:rsidRPr="00506D87">
        <w:rPr>
          <w:rFonts w:ascii="Times New Roman" w:hAnsi="Times New Roman" w:cs="Times New Roman"/>
          <w:sz w:val="28"/>
          <w:szCs w:val="28"/>
        </w:rPr>
        <w:t xml:space="preserve"> (15-17 лет)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1858 человек, из них юноши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883, девушки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975;</w:t>
      </w:r>
      <w:r w:rsidR="00E07235">
        <w:rPr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iCs/>
          <w:sz w:val="28"/>
          <w:szCs w:val="28"/>
        </w:rPr>
        <w:t xml:space="preserve">взрослые 18 лет и старше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45 608 человек,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="00E07235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sz w:val="28"/>
          <w:szCs w:val="28"/>
        </w:rPr>
        <w:t xml:space="preserve">21449,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 24159, </w:t>
      </w:r>
      <w:r w:rsidRPr="00506D87">
        <w:rPr>
          <w:rFonts w:ascii="Times New Roman" w:hAnsi="Times New Roman" w:cs="Times New Roman"/>
          <w:iCs/>
          <w:sz w:val="28"/>
          <w:szCs w:val="28"/>
        </w:rPr>
        <w:t>трудоспособного возраста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 xml:space="preserve">29574 человека, из них мужчины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 16228</w:t>
      </w:r>
      <w:r w:rsidRPr="00506D87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06D87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06D87">
        <w:rPr>
          <w:rFonts w:ascii="Times New Roman" w:hAnsi="Times New Roman" w:cs="Times New Roman"/>
          <w:sz w:val="28"/>
          <w:szCs w:val="28"/>
        </w:rPr>
        <w:t>13346;</w:t>
      </w:r>
      <w:proofErr w:type="gramEnd"/>
      <w:r w:rsidR="00E07235">
        <w:rPr>
          <w:rFonts w:ascii="Times New Roman" w:hAnsi="Times New Roman" w:cs="Times New Roman"/>
          <w:sz w:val="28"/>
          <w:szCs w:val="28"/>
        </w:rPr>
        <w:t xml:space="preserve"> </w:t>
      </w:r>
      <w:r w:rsidRPr="00506D87">
        <w:rPr>
          <w:rFonts w:ascii="Times New Roman" w:hAnsi="Times New Roman" w:cs="Times New Roman"/>
          <w:iCs/>
          <w:sz w:val="28"/>
          <w:szCs w:val="28"/>
        </w:rPr>
        <w:t>старше трудоспособного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16034 человек, из них мужчины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—5221</w:t>
      </w:r>
      <w:r w:rsidRPr="005A6031">
        <w:rPr>
          <w:rFonts w:ascii="Times New Roman" w:hAnsi="Times New Roman" w:cs="Times New Roman"/>
          <w:sz w:val="28"/>
          <w:szCs w:val="28"/>
        </w:rPr>
        <w:t xml:space="preserve">, женщины </w:t>
      </w:r>
      <w:r w:rsidRPr="005A6031">
        <w:rPr>
          <w:rStyle w:val="10"/>
          <w:rFonts w:ascii="Times New Roman" w:hAnsi="Times New Roman" w:cs="Times New Roman"/>
          <w:sz w:val="28"/>
          <w:szCs w:val="28"/>
        </w:rPr>
        <w:t>—</w:t>
      </w:r>
      <w:r w:rsidRPr="005A6031">
        <w:rPr>
          <w:rFonts w:ascii="Times New Roman" w:hAnsi="Times New Roman" w:cs="Times New Roman"/>
          <w:sz w:val="28"/>
          <w:szCs w:val="28"/>
        </w:rPr>
        <w:t xml:space="preserve"> 10813.</w:t>
      </w:r>
    </w:p>
    <w:p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Заболеваемость и смертность </w:t>
      </w:r>
    </w:p>
    <w:p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неинфекционных заболеваний в динамике</w:t>
      </w:r>
    </w:p>
    <w:p w:rsidR="005418B2" w:rsidRDefault="005418B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 данным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Саратовстата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, численность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1 января 2021 года составила 56480 человек, из них 40425 человек (71,6 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население, 16055 человек (28,4</w:t>
      </w:r>
      <w:r w:rsidR="007E1E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процента)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сельские жители.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Население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Пугачевского 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за год сократилось на 1,1</w:t>
      </w:r>
      <w:r w:rsidR="004A2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 (на 613 человек). Снижение численности населения обусловлено как естественной, так и миграционной убылью населения.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 итогам 2021 года в районе родилось 354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ребенка, что на 3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процента меньше в сравнении с 2020 годом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(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родилось 365 детей). Коэффициент рождаемости составил 6,3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(2020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6,4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 Объективный фактор, повлиявший на изменение показателя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уменьшение количества женщин фертильного возраста. 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При сравнительном анализе смертности в Пугачевском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муниципальном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районе в 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 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годах отмечается рост общей смертности на 17,0</w:t>
      </w:r>
      <w:r w:rsidR="00166B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1043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человека (18,6 человека 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905 человек (15,9 человека на 1000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по Пугачевскому району ниже показателя Саратовской области на 9,7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(20,6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Естественная убыль населения Пугачевского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12,3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12,9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9,5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 (показатель по Саратовской области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9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,1 </w:t>
      </w:r>
      <w:r w:rsidR="005322DD">
        <w:rPr>
          <w:rFonts w:ascii="Times New Roman" w:hAnsi="Times New Roman" w:cs="Times New Roman"/>
          <w:color w:val="auto"/>
          <w:sz w:val="28"/>
          <w:szCs w:val="28"/>
        </w:rPr>
        <w:t xml:space="preserve">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1000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по Пугачевскому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району ниже показателя по Саратовской области на 4,7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процента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Основной причиной смертности населения являются болезни системы кровообращения (42,8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от всех умерших):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2021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446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человек (794,5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2020 год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474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(834,2 человека на 100 тысяч населения)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Отмечается снижение количества умерших от болезней системы кровообращения на 4,8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на 10,8</w:t>
      </w:r>
      <w:r w:rsidR="00F80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(890,2 человека на 100 тысяч населения). 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Доля умерших от болезней системы кровообращения в возрасте 75 лет и старше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составила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56,9 процента.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внешних причин в 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уменьшилась на 9,4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процента: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68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(121,1 человека на 100 тысяч населения),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76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(133,7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Данный показатель выше показателя по Саратовской области на 4,8 процента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(115,6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новообразований уменьшилась на 2,5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10E">
        <w:rPr>
          <w:rFonts w:ascii="Times New Roman" w:hAnsi="Times New Roman" w:cs="Times New Roman"/>
          <w:color w:val="auto"/>
          <w:sz w:val="28"/>
          <w:szCs w:val="28"/>
        </w:rPr>
        <w:t>что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5,2 процента ниже показателя по Саратовской области (208,5 человека на 100 тысяч населения):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110</w:t>
      </w:r>
      <w:r w:rsidR="005418B2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(194,8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114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5418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(199,7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пищеварения в 2021</w:t>
      </w:r>
      <w:r w:rsidR="00D41A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увеличилась на 8,1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47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(83,7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44 человека (77,4 человека на 100 тысяч населения)</w:t>
      </w:r>
      <w:r w:rsidR="00272058">
        <w:rPr>
          <w:rFonts w:ascii="Times New Roman" w:hAnsi="Times New Roman" w:cs="Times New Roman"/>
          <w:color w:val="auto"/>
          <w:sz w:val="28"/>
          <w:szCs w:val="28"/>
        </w:rPr>
        <w:t>, что н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иже показателя по Саратовской области (104,3 человека на 100 тысяч населения)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19,8 процента.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болезней органов дыхания снизилась на 19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процентов и на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12,8 процент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ниже показателя по Саратовской области (98,0 человека на 100 тысяч населения):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48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(85,5 человека на 100 тысяч населения),</w:t>
      </w:r>
      <w:r w:rsidR="005F6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60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(105,6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населения в трудоспособном возрасте в 2021 году увеличилась по сравнению с 2020</w:t>
      </w:r>
      <w:r w:rsidR="00324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годом на 13,2</w:t>
      </w:r>
      <w:r w:rsidR="00324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мужчин в трудоспособном возрасте от всех причин составила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918,2 человека на 100 тысяч населения.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женщин в трудоспособном возрасте от всех причин составила 254,8 человека на 100 тысяч населения.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 смертности от болезней системы кровообращения в 2021</w:t>
      </w:r>
      <w:r w:rsidR="00957F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в трудоспособном возрасте вырос на 7,1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</w:t>
      </w:r>
      <w:r w:rsidR="00957F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43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(146,7 человека на 100 тысяч населения),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957F60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41 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(137,0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Данный показатель выше показателя по Саратовской области на 18,4 процента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(123,9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от травм и отравлений в трудоспособном возрасте уменьшилась на 22,9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(126,3 человека на 100 тысяч населения),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</w:t>
      </w:r>
      <w:r w:rsidR="006623A6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6623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(163,7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Превышение показателя по Саратовской области (118,3 человека на 100 тысяч населения) составило 6,8 процента.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Смертность в трудоспособном возрасте от новообразований в 2021 году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снизилась на 4,9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процента: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2021 год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>— 25</w:t>
      </w:r>
      <w:r w:rsidR="001F1E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(84,5 человека на 100 тысяч населения),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 (88,7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Отмечается превышение</w:t>
      </w:r>
      <w:r w:rsidR="001F1E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показателя по Саратовской области </w:t>
      </w:r>
      <w:r w:rsidR="00063D68"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18,9 процента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(71,1 человека на 100 тысяч населения).</w:t>
      </w:r>
    </w:p>
    <w:p w:rsidR="003E0832" w:rsidRPr="005A6031" w:rsidRDefault="003E0832" w:rsidP="003E0832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района отмечена тенденция увеличения численности населения старше трудоспособного возраста, что свидетельствует о демографическом старении населения района. Доля лиц старше трудоспособного возраста в структуре общей численности населения за последнее десятилетие увеличилась на 24,6</w:t>
      </w:r>
      <w:r w:rsidR="00556B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процента и на начало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года составила 28,4</w:t>
      </w:r>
      <w:r w:rsidR="00556B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процента. В среднесрочной перспективе данная динамика будет продолжена на фоне снижения численности трудоспособного населения, что может привести к росту числа умерших за счет высокой смертности лиц старше трудоспособного возраста.</w:t>
      </w:r>
    </w:p>
    <w:p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Заболеваемость населения злокачественными образованиями</w:t>
      </w:r>
    </w:p>
    <w:p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Пугачевский </w:t>
      </w:r>
      <w:r w:rsidR="00AD7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район не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входит в число районов, где отмечается высокий уровень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онкозаболеваемости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>. На диспансерном учете у врача онколога состоит 1217 человек.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Первичная заболеваемость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онкопатологией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в 2021</w:t>
      </w:r>
      <w:r w:rsidR="007955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году уменьшилась по сравнению с 2020 годом на 10,2 процента и составила в 2021 году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324,0 случая на 100 тысяч населения, в 2020 году</w:t>
      </w:r>
      <w:r w:rsidRPr="005A6031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360,8 случая на 100 тысяч населения, что выше на 6 процентов показателя по Саратовской области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(454,7 случая на 100 тысяч населения.).</w:t>
      </w:r>
      <w:proofErr w:type="gramEnd"/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2021 году отмечено:</w:t>
      </w:r>
    </w:p>
    <w:p w:rsidR="00415B46" w:rsidRPr="005A6031" w:rsidRDefault="00506D87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снижение выя</w:t>
      </w:r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>вляемости злокачественной патологии на ранних стадиях по сравнению с 2020 годом на 14,5 процента и составило 53,3 процента,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B46" w:rsidRPr="005A6031">
        <w:rPr>
          <w:rFonts w:ascii="Times New Roman" w:hAnsi="Times New Roman" w:cs="Times New Roman"/>
          <w:color w:val="auto"/>
          <w:sz w:val="28"/>
          <w:szCs w:val="28"/>
        </w:rPr>
        <w:t>что ниже целевого показателя по Саратовской области на 12,9 процента;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уменьшение числа пациентов умерших до 1 года от момента постановки диагноза на 40 процентов по сравнению с 2020 годом.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 2021 году профилактические медицинские осмотры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прошли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15026 женщин, что составило 100 процентов от плана на 2021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год. Онкоцитологические исследования были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проведены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всем осмотренным женщинам. Выявлено 5 случаев рака шейки матки.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Маммографические</w:t>
      </w:r>
      <w:proofErr w:type="spellEnd"/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исследования проведены 1455 женщинам, выявлено 593 случая патологии молочной железы, из них 18 случаев рака молочной железы. Все пациентки направлены в государственное учреждение здравоохранения «Областной клинический онкологический диспансер».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обследований на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онкомаркеры</w:t>
      </w:r>
      <w:proofErr w:type="spell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у 644 мужчин, выявлено 142 положительные реакции. Из них онкологические заболевания не были диагностированы.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диспансеризации обследовано 9290 человек.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Выявлена</w:t>
      </w:r>
      <w:proofErr w:type="gramEnd"/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онкопатология</w:t>
      </w:r>
      <w:proofErr w:type="spellEnd"/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у 7 человек.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Ведущими локализациями онкологических заболеваний являются органы пищеварения (25 процентов), органы дыхания (14,2 процента), молочная железа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 кожа (по 13,1процента), гениталии (11 процентов).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Показатель смертности от новообразований в 2021 году составил 194,8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  <w:r w:rsidR="001F7A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на 100 тысяч населения, что ниже показателя Саратовской области на 5,2 процента.</w:t>
      </w:r>
    </w:p>
    <w:p w:rsidR="00366309" w:rsidRDefault="00366309" w:rsidP="00366309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службы медицинской профилактики</w:t>
      </w:r>
    </w:p>
    <w:p w:rsidR="00366309" w:rsidRDefault="00366309" w:rsidP="00366309">
      <w:pPr>
        <w:pStyle w:val="Style15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доступность имеющихся ресурсов в области общественного здоровья</w:t>
      </w:r>
    </w:p>
    <w:p w:rsidR="00366309" w:rsidRDefault="00366309" w:rsidP="00366309">
      <w:pPr>
        <w:pStyle w:val="Style15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Профилактическая служба Пугачевского 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района представлена отделением медицинской профилактики, в котором работают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врач и 3 человека среднего медицинского персонала. Координацию профилактической работы осуществляет государственное учреждение здравоохранения «Саратовский областной центр общественного здоровья и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й профилактики».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Отделение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</w:t>
      </w:r>
      <w:proofErr w:type="gramStart"/>
      <w:r w:rsidRPr="005A6031">
        <w:rPr>
          <w:rFonts w:ascii="Times New Roman" w:hAnsi="Times New Roman" w:cs="Times New Roman"/>
          <w:color w:val="auto"/>
          <w:sz w:val="28"/>
          <w:szCs w:val="28"/>
        </w:rPr>
        <w:t>сердечно-сосудистый</w:t>
      </w:r>
      <w:proofErr w:type="gramEnd"/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риск.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отделения медицинской профилактики проводят обучение граждан правилам оказания первой помощи при </w:t>
      </w:r>
      <w:proofErr w:type="spellStart"/>
      <w:r w:rsidRPr="005A6031">
        <w:rPr>
          <w:rFonts w:ascii="Times New Roman" w:hAnsi="Times New Roman" w:cs="Times New Roman"/>
          <w:color w:val="auto"/>
          <w:sz w:val="28"/>
          <w:szCs w:val="28"/>
        </w:rPr>
        <w:t>жизнеугрожающих</w:t>
      </w:r>
      <w:proofErr w:type="spellEnd"/>
      <w:r w:rsidR="00705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состояниях,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6031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="00506D87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 муниципального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 xml:space="preserve"> района работает 9 школ курсового гигиенического обучения, в которых обучено 1052 человека,</w:t>
      </w:r>
      <w:r w:rsidR="007054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color w:val="auto"/>
          <w:sz w:val="28"/>
          <w:szCs w:val="28"/>
        </w:rPr>
        <w:t>из них 302 человека обучено в школе «Здоровый образ жизни» в 2021 году.</w:t>
      </w:r>
    </w:p>
    <w:p w:rsidR="00415B46" w:rsidRPr="005A6031" w:rsidRDefault="00415B46" w:rsidP="00415B46">
      <w:pPr>
        <w:pStyle w:val="Style1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системы управления здравоохранением</w:t>
      </w:r>
    </w:p>
    <w:p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A6031">
        <w:rPr>
          <w:rFonts w:ascii="Times New Roman" w:hAnsi="Times New Roman" w:cs="Times New Roman"/>
          <w:sz w:val="28"/>
          <w:szCs w:val="28"/>
          <w:lang w:eastAsia="zh-CN"/>
        </w:rPr>
        <w:t xml:space="preserve"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 </w:t>
      </w:r>
      <w:proofErr w:type="gramEnd"/>
    </w:p>
    <w:p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жителям Пугачевского </w:t>
      </w:r>
      <w:r w:rsidR="00506D87">
        <w:rPr>
          <w:rFonts w:ascii="Times New Roman" w:hAnsi="Times New Roman" w:cs="Times New Roman"/>
          <w:sz w:val="28"/>
          <w:szCs w:val="28"/>
        </w:rPr>
        <w:t>муниципал</w:t>
      </w:r>
      <w:r w:rsidR="0005767A">
        <w:rPr>
          <w:rFonts w:ascii="Times New Roman" w:hAnsi="Times New Roman" w:cs="Times New Roman"/>
          <w:sz w:val="28"/>
          <w:szCs w:val="28"/>
        </w:rPr>
        <w:t>ь</w:t>
      </w:r>
      <w:r w:rsidR="00506D87">
        <w:rPr>
          <w:rFonts w:ascii="Times New Roman" w:hAnsi="Times New Roman" w:cs="Times New Roman"/>
          <w:sz w:val="28"/>
          <w:szCs w:val="28"/>
        </w:rPr>
        <w:t>ного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>района осуществляется силами государственного учреждения здравоохранения Саратовской области «Пугачевская районная больница» (ГУЗСО «Пугачевская РБ»). В структуру районной больницы входят 26 фельдшерско-акушерских пунктов, 2 участковые больницы, 3 врачебные амбулатории, где ведут прием врачи общей практики. Создано 9 домовых хозяйств.</w:t>
      </w:r>
    </w:p>
    <w:p w:rsidR="00415B46" w:rsidRPr="005A6031" w:rsidRDefault="00415B46" w:rsidP="00415B46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031">
        <w:rPr>
          <w:rFonts w:ascii="Times New Roman" w:hAnsi="Times New Roman" w:cs="Times New Roman"/>
          <w:sz w:val="28"/>
          <w:szCs w:val="28"/>
        </w:rPr>
        <w:t>Районная поликлиника рассчитана на 869 посещений в смену, имеется 13 терапевтических участков, 6 участков врачей общей практики (с учетом сельских докторов). Детская поликлиника рассчитана на 250 посещений в смену, стоматологическая поликлиника – на 50 посещений, женская консультация – на 42 посещения в смену.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>Стационар рассчитан на 263 круглосуточные койки, дневной стационар на 70</w:t>
      </w:r>
      <w:r w:rsidR="0005767A">
        <w:rPr>
          <w:rFonts w:ascii="Times New Roman" w:hAnsi="Times New Roman" w:cs="Times New Roman"/>
          <w:sz w:val="28"/>
          <w:szCs w:val="28"/>
        </w:rPr>
        <w:t xml:space="preserve"> </w:t>
      </w:r>
      <w:r w:rsidRPr="005A6031">
        <w:rPr>
          <w:rFonts w:ascii="Times New Roman" w:hAnsi="Times New Roman" w:cs="Times New Roman"/>
          <w:sz w:val="28"/>
          <w:szCs w:val="28"/>
        </w:rPr>
        <w:t>коек.</w:t>
      </w:r>
    </w:p>
    <w:p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366309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Распространенность факторов риска развития хронических неинфекционных заболеваний</w:t>
      </w:r>
    </w:p>
    <w:p w:rsidR="00366309" w:rsidRPr="00C21FDE" w:rsidRDefault="00366309" w:rsidP="00366309">
      <w:pPr>
        <w:widowControl w:val="0"/>
        <w:pBdr>
          <w:bottom w:val="single" w:sz="6" w:space="30" w:color="FFFFFF"/>
        </w:pBd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>По итогам 2021 года основными факторами риска хронических неинфекционных заболеваний среди взрослого населения в Пугачевском районе являлись: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избыточный вес – 29,9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курение –10,1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ab/>
        <w:t>пагубное потребление алкоголя – 0,5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глюкозы – 2,0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гиподинамия – 12,5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нерациональное питание – 14,3 процента;</w:t>
      </w:r>
    </w:p>
    <w:p w:rsidR="00551BC8" w:rsidRPr="005A6031" w:rsidRDefault="00551BC8" w:rsidP="00551BC8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высокий и очень высокий </w:t>
      </w:r>
      <w:proofErr w:type="gramStart"/>
      <w:r w:rsidRPr="005A6031">
        <w:rPr>
          <w:rFonts w:ascii="Times New Roman" w:hAnsi="Times New Roman" w:cs="Times New Roman"/>
          <w:sz w:val="28"/>
          <w:szCs w:val="28"/>
          <w:lang w:eastAsia="zh-CN"/>
        </w:rPr>
        <w:t>сердечно-сосудистый</w:t>
      </w:r>
      <w:proofErr w:type="gramEnd"/>
      <w:r w:rsidRPr="005A6031">
        <w:rPr>
          <w:rFonts w:ascii="Times New Roman" w:hAnsi="Times New Roman" w:cs="Times New Roman"/>
          <w:sz w:val="28"/>
          <w:szCs w:val="28"/>
          <w:lang w:eastAsia="zh-CN"/>
        </w:rPr>
        <w:t xml:space="preserve"> риск – 5,8 процента;</w:t>
      </w:r>
    </w:p>
    <w:p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 w:rsidRPr="005A6031">
        <w:rPr>
          <w:rFonts w:ascii="Times New Roman" w:hAnsi="Times New Roman" w:cs="Times New Roman"/>
          <w:sz w:val="28"/>
          <w:szCs w:val="28"/>
          <w:lang w:eastAsia="zh-CN"/>
        </w:rPr>
        <w:tab/>
        <w:t>повышенный уровень артериального давления – 16,2 процента.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</w:p>
    <w:p w:rsidR="00C21FDE" w:rsidRDefault="00551BC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669AE" w:rsidRPr="002F78EF">
        <w:rPr>
          <w:rFonts w:ascii="Times New Roman" w:eastAsia="Times New Roman" w:hAnsi="Times New Roman" w:cs="Times New Roman"/>
          <w:b/>
          <w:sz w:val="28"/>
        </w:rPr>
        <w:t>.Цели и задачи муниципальной программы, целевые показатели (индикаторы), описание ожидаемых конечных результатов, сроки</w:t>
      </w:r>
      <w:r w:rsidR="008E57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69AE" w:rsidRPr="002F78EF">
        <w:rPr>
          <w:rFonts w:ascii="Times New Roman" w:eastAsia="Times New Roman" w:hAnsi="Times New Roman" w:cs="Times New Roman"/>
          <w:b/>
          <w:sz w:val="28"/>
        </w:rPr>
        <w:t>и этапы реализации муниципальной программы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Целью муниципальной программы является 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</w:t>
      </w:r>
      <w:r w:rsidR="005418B2">
        <w:rPr>
          <w:rStyle w:val="10"/>
          <w:rFonts w:ascii="Times New Roman" w:hAnsi="Times New Roman" w:cs="Times New Roman"/>
          <w:sz w:val="28"/>
          <w:szCs w:val="28"/>
        </w:rPr>
        <w:t>, продление активного долголетия</w:t>
      </w:r>
      <w:r w:rsidRPr="002F78EF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2F78EF">
        <w:rPr>
          <w:rStyle w:val="10"/>
          <w:rFonts w:ascii="Times New Roman" w:hAnsi="Times New Roman" w:cs="Times New Roman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 w:rsidR="00C21FDE" w:rsidRDefault="002F78EF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Одно из основных направлений —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 w:rsidR="00C21FDE" w:rsidRDefault="00C5567B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366309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="0036630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366309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ы</w:t>
      </w:r>
      <w:r w:rsidR="00366309">
        <w:rPr>
          <w:rFonts w:ascii="Times New Roman" w:hAnsi="Times New Roman"/>
          <w:sz w:val="28"/>
          <w:szCs w:val="28"/>
        </w:rPr>
        <w:t xml:space="preserve">) муниципальной программы </w:t>
      </w:r>
      <w:r>
        <w:rPr>
          <w:rFonts w:ascii="Times New Roman" w:hAnsi="Times New Roman"/>
          <w:sz w:val="28"/>
          <w:szCs w:val="28"/>
        </w:rPr>
        <w:t>отсутствуют</w:t>
      </w:r>
      <w:r w:rsidR="00366309">
        <w:rPr>
          <w:rFonts w:ascii="Times New Roman" w:hAnsi="Times New Roman"/>
          <w:sz w:val="28"/>
          <w:szCs w:val="28"/>
        </w:rPr>
        <w:t>.</w:t>
      </w:r>
    </w:p>
    <w:p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</w:t>
      </w:r>
      <w:r w:rsidR="00AC2A90">
        <w:rPr>
          <w:rFonts w:ascii="Times New Roman" w:eastAsia="Calibri" w:hAnsi="Times New Roman"/>
          <w:sz w:val="28"/>
          <w:szCs w:val="28"/>
        </w:rPr>
        <w:t xml:space="preserve">приведет </w:t>
      </w:r>
      <w:proofErr w:type="gramStart"/>
      <w:r w:rsidR="00AC2A90"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удельного веса населения, систематически занимающегося физической культурой и спортом;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охвата населения ежегодными профилактическими осмотрами и диспансеризацией;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доли населения, охваченного </w:t>
      </w:r>
      <w:proofErr w:type="gram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профилактическими</w:t>
      </w:r>
      <w:proofErr w:type="gram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мероприя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тиями</w:t>
      </w:r>
      <w:proofErr w:type="spell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, направленными на снижение распространения неинфекционных и инфекционных заболеваний, от общей численности жителей муниципального района;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информационных профилактических материалов по вопросам профилактики неинфекционных и социально-значимых заболеваний и пропаганды (листовки, буклеты, плакаты, газеты);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электронных, текстовых, графических </w:t>
      </w:r>
      <w:proofErr w:type="gramStart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видео</w:t>
      </w:r>
      <w:r w:rsidR="00C21FDE">
        <w:rPr>
          <w:rStyle w:val="10"/>
          <w:rFonts w:ascii="Times New Roman" w:hAnsi="Times New Roman" w:cs="Times New Roman"/>
          <w:color w:val="000000"/>
          <w:sz w:val="28"/>
          <w:szCs w:val="28"/>
        </w:rPr>
        <w:t>-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профилактической направленности, размещенных в сети «Интернет»;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количества организаций и предприятий, участвующих в разработке и внедрении корпоративных программ «Укрепление здоровья работающих»;</w:t>
      </w:r>
    </w:p>
    <w:p w:rsidR="00C21FDE" w:rsidRDefault="007C0358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AC2A90">
        <w:rPr>
          <w:rStyle w:val="10"/>
          <w:rFonts w:ascii="Times New Roman" w:hAnsi="Times New Roman" w:cs="Times New Roman"/>
          <w:color w:val="000000"/>
          <w:sz w:val="28"/>
          <w:szCs w:val="28"/>
        </w:rPr>
        <w:t>ю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системы мотивации граждан к ведению здорового образа </w:t>
      </w:r>
      <w:r w:rsidRPr="007C0358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жизни, включая здоровое питание, регулярную двигательную активность, занятия физической культурой и спортом, отказ от вредных привычек.</w:t>
      </w:r>
    </w:p>
    <w:p w:rsidR="00C21FDE" w:rsidRDefault="0036630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муниципальной программы рассчитана на</w:t>
      </w:r>
      <w:r w:rsidR="00C5567B">
        <w:rPr>
          <w:rFonts w:ascii="Times New Roman" w:eastAsia="Calibri" w:hAnsi="Times New Roman"/>
          <w:sz w:val="28"/>
          <w:szCs w:val="28"/>
        </w:rPr>
        <w:t xml:space="preserve"> период </w:t>
      </w:r>
      <w:r>
        <w:rPr>
          <w:rFonts w:ascii="Times New Roman" w:eastAsia="Calibri" w:hAnsi="Times New Roman"/>
          <w:sz w:val="28"/>
          <w:szCs w:val="28"/>
        </w:rPr>
        <w:t>2022-2026 годы.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16"/>
          <w:szCs w:val="16"/>
        </w:rPr>
      </w:pPr>
    </w:p>
    <w:p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 xml:space="preserve">3.Перечень </w:t>
      </w:r>
      <w:proofErr w:type="gramStart"/>
      <w:r w:rsidRPr="002D6AB9">
        <w:rPr>
          <w:rFonts w:ascii="Times New Roman" w:eastAsia="Times New Roman" w:hAnsi="Times New Roman" w:cs="Times New Roman"/>
          <w:b/>
          <w:sz w:val="28"/>
        </w:rPr>
        <w:t>основных</w:t>
      </w:r>
      <w:proofErr w:type="gramEnd"/>
      <w:r w:rsidRPr="002D6AB9">
        <w:rPr>
          <w:rFonts w:ascii="Times New Roman" w:eastAsia="Times New Roman" w:hAnsi="Times New Roman" w:cs="Times New Roman"/>
          <w:b/>
          <w:sz w:val="28"/>
        </w:rPr>
        <w:t xml:space="preserve"> мероприятия муниципальной программы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1FDE" w:rsidRDefault="002D6AB9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к муниципальной программе.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2D6AB9"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1FDE" w:rsidRDefault="00852E2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Муниципальная программа «</w:t>
      </w:r>
      <w:r w:rsidRPr="00AA525D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 территории Пугачевского муниципального района Саратовской области на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-2026 </w:t>
      </w:r>
      <w:r w:rsidRPr="00AA525D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ы» реализуется без финансового обеспечения.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C21FDE" w:rsidRDefault="001669A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A71A4C">
        <w:rPr>
          <w:rFonts w:ascii="Times New Roman" w:eastAsia="Times New Roman" w:hAnsi="Times New Roman" w:cs="Times New Roman"/>
          <w:b/>
          <w:sz w:val="28"/>
        </w:rPr>
        <w:t xml:space="preserve">5.Организация управления и </w:t>
      </w:r>
      <w:proofErr w:type="gramStart"/>
      <w:r w:rsidRPr="00A71A4C"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 w:rsidRPr="00A71A4C">
        <w:rPr>
          <w:rFonts w:ascii="Times New Roman" w:eastAsia="Times New Roman" w:hAnsi="Times New Roman" w:cs="Times New Roman"/>
          <w:b/>
          <w:sz w:val="28"/>
        </w:rPr>
        <w:t xml:space="preserve"> ходом реализации программы</w:t>
      </w:r>
    </w:p>
    <w:p w:rsidR="00C21FDE" w:rsidRPr="00C21FDE" w:rsidRDefault="00C21FDE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1FDE" w:rsidRDefault="00A71A4C" w:rsidP="00C21FDE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сроками выполнения мероприятий программы, целевым расходованием выделяемых финансовых средств и эффективностью их использования осуществляет ответственный исполнитель под контролем координатора - заместителя главы администрации Пугачевского муниципального района по социальным вопросам</w:t>
      </w:r>
      <w:r w:rsidR="00506D87">
        <w:rPr>
          <w:rFonts w:ascii="Times New Roman" w:eastAsia="Calibri" w:hAnsi="Times New Roman"/>
          <w:sz w:val="28"/>
          <w:szCs w:val="28"/>
        </w:rPr>
        <w:t xml:space="preserve"> Зудину С.М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A1A6F" w:rsidRDefault="00A71A4C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  <w:proofErr w:type="gramEnd"/>
    </w:p>
    <w:p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87A6F" w:rsidRDefault="00587A6F" w:rsidP="00587A6F">
      <w:pPr>
        <w:widowControl w:val="0"/>
        <w:pBdr>
          <w:bottom w:val="single" w:sz="6" w:space="30" w:color="FFFFFF"/>
        </w:pBd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</w:rPr>
        <w:sectPr w:rsidR="00587A6F" w:rsidSect="001669A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6371F9" w:rsidRDefault="006371F9" w:rsidP="00E4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sectPr w:rsidR="006371F9" w:rsidSect="001669AE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22" w:rsidRDefault="00D15922" w:rsidP="00C17E92">
      <w:pPr>
        <w:spacing w:after="0" w:line="240" w:lineRule="auto"/>
      </w:pPr>
      <w:r>
        <w:separator/>
      </w:r>
    </w:p>
  </w:endnote>
  <w:endnote w:type="continuationSeparator" w:id="0">
    <w:p w:rsidR="00D15922" w:rsidRDefault="00D15922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22" w:rsidRDefault="00D15922" w:rsidP="00C17E92">
      <w:pPr>
        <w:spacing w:after="0" w:line="240" w:lineRule="auto"/>
      </w:pPr>
      <w:r>
        <w:separator/>
      </w:r>
    </w:p>
  </w:footnote>
  <w:footnote w:type="continuationSeparator" w:id="0">
    <w:p w:rsidR="00D15922" w:rsidRDefault="00D15922" w:rsidP="00C1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3"/>
    <w:rsid w:val="00013B52"/>
    <w:rsid w:val="000527A4"/>
    <w:rsid w:val="0005767A"/>
    <w:rsid w:val="00060EE0"/>
    <w:rsid w:val="00063D68"/>
    <w:rsid w:val="00073116"/>
    <w:rsid w:val="00094035"/>
    <w:rsid w:val="000A7D61"/>
    <w:rsid w:val="000B5AC3"/>
    <w:rsid w:val="000D7681"/>
    <w:rsid w:val="000D7BD0"/>
    <w:rsid w:val="00111DFD"/>
    <w:rsid w:val="00157935"/>
    <w:rsid w:val="00162FAB"/>
    <w:rsid w:val="00163D51"/>
    <w:rsid w:val="001669AE"/>
    <w:rsid w:val="00166B66"/>
    <w:rsid w:val="001A1A6F"/>
    <w:rsid w:val="001C3F6E"/>
    <w:rsid w:val="001E1AD9"/>
    <w:rsid w:val="001E4FBE"/>
    <w:rsid w:val="001F1E75"/>
    <w:rsid w:val="001F7A4A"/>
    <w:rsid w:val="00204E7C"/>
    <w:rsid w:val="002246D6"/>
    <w:rsid w:val="00272058"/>
    <w:rsid w:val="00290BB9"/>
    <w:rsid w:val="002923B5"/>
    <w:rsid w:val="002B0538"/>
    <w:rsid w:val="002D6AB9"/>
    <w:rsid w:val="002E3ADB"/>
    <w:rsid w:val="002F2914"/>
    <w:rsid w:val="002F78EF"/>
    <w:rsid w:val="00307709"/>
    <w:rsid w:val="00313356"/>
    <w:rsid w:val="003137F4"/>
    <w:rsid w:val="00324B7E"/>
    <w:rsid w:val="00341AD4"/>
    <w:rsid w:val="00354884"/>
    <w:rsid w:val="00355A7F"/>
    <w:rsid w:val="00365763"/>
    <w:rsid w:val="00366309"/>
    <w:rsid w:val="003738FF"/>
    <w:rsid w:val="00387B9F"/>
    <w:rsid w:val="003A63CB"/>
    <w:rsid w:val="003C1A90"/>
    <w:rsid w:val="003E0832"/>
    <w:rsid w:val="003E670E"/>
    <w:rsid w:val="003F6F89"/>
    <w:rsid w:val="00406047"/>
    <w:rsid w:val="00415B46"/>
    <w:rsid w:val="00422BCC"/>
    <w:rsid w:val="00437431"/>
    <w:rsid w:val="00474F69"/>
    <w:rsid w:val="00484EAC"/>
    <w:rsid w:val="00490967"/>
    <w:rsid w:val="004A28B5"/>
    <w:rsid w:val="004B186E"/>
    <w:rsid w:val="004B5B1A"/>
    <w:rsid w:val="004B68BD"/>
    <w:rsid w:val="004B6DA6"/>
    <w:rsid w:val="004C0D59"/>
    <w:rsid w:val="004F008D"/>
    <w:rsid w:val="00506D87"/>
    <w:rsid w:val="005322DD"/>
    <w:rsid w:val="005418B2"/>
    <w:rsid w:val="00551BC8"/>
    <w:rsid w:val="00556BC4"/>
    <w:rsid w:val="005617DA"/>
    <w:rsid w:val="00587A6F"/>
    <w:rsid w:val="005B0680"/>
    <w:rsid w:val="005D4462"/>
    <w:rsid w:val="005E4196"/>
    <w:rsid w:val="005E6D1B"/>
    <w:rsid w:val="005F6983"/>
    <w:rsid w:val="00601738"/>
    <w:rsid w:val="006238F3"/>
    <w:rsid w:val="006371F9"/>
    <w:rsid w:val="006533F9"/>
    <w:rsid w:val="00660682"/>
    <w:rsid w:val="00661462"/>
    <w:rsid w:val="006623A6"/>
    <w:rsid w:val="00672FBD"/>
    <w:rsid w:val="006905F1"/>
    <w:rsid w:val="0069576C"/>
    <w:rsid w:val="006A2A6D"/>
    <w:rsid w:val="006A349E"/>
    <w:rsid w:val="006A37A9"/>
    <w:rsid w:val="006B4041"/>
    <w:rsid w:val="006F75F6"/>
    <w:rsid w:val="007054AB"/>
    <w:rsid w:val="00730144"/>
    <w:rsid w:val="007424C5"/>
    <w:rsid w:val="0074310E"/>
    <w:rsid w:val="007440EC"/>
    <w:rsid w:val="007446C5"/>
    <w:rsid w:val="00762E5F"/>
    <w:rsid w:val="007955D8"/>
    <w:rsid w:val="007A2B9F"/>
    <w:rsid w:val="007C0358"/>
    <w:rsid w:val="007E1E30"/>
    <w:rsid w:val="007F770B"/>
    <w:rsid w:val="00852E2E"/>
    <w:rsid w:val="00873DB6"/>
    <w:rsid w:val="00875277"/>
    <w:rsid w:val="0089593B"/>
    <w:rsid w:val="008B3CE6"/>
    <w:rsid w:val="008C74D3"/>
    <w:rsid w:val="008C7567"/>
    <w:rsid w:val="008E57EB"/>
    <w:rsid w:val="008F3BBF"/>
    <w:rsid w:val="00934591"/>
    <w:rsid w:val="00957F60"/>
    <w:rsid w:val="00965E10"/>
    <w:rsid w:val="0097483A"/>
    <w:rsid w:val="0098440C"/>
    <w:rsid w:val="009953B0"/>
    <w:rsid w:val="009A4915"/>
    <w:rsid w:val="009D613B"/>
    <w:rsid w:val="009E1ADF"/>
    <w:rsid w:val="009F0340"/>
    <w:rsid w:val="009F0D12"/>
    <w:rsid w:val="00A1031B"/>
    <w:rsid w:val="00A10954"/>
    <w:rsid w:val="00A144E9"/>
    <w:rsid w:val="00A35AD6"/>
    <w:rsid w:val="00A369AB"/>
    <w:rsid w:val="00A570DA"/>
    <w:rsid w:val="00A6241F"/>
    <w:rsid w:val="00A71A4C"/>
    <w:rsid w:val="00A869E3"/>
    <w:rsid w:val="00A935FB"/>
    <w:rsid w:val="00AA525D"/>
    <w:rsid w:val="00AC2A90"/>
    <w:rsid w:val="00AD7EFE"/>
    <w:rsid w:val="00AE1A28"/>
    <w:rsid w:val="00AE1BC2"/>
    <w:rsid w:val="00AF4473"/>
    <w:rsid w:val="00B523E3"/>
    <w:rsid w:val="00B83059"/>
    <w:rsid w:val="00BC694D"/>
    <w:rsid w:val="00BD5B81"/>
    <w:rsid w:val="00BE700C"/>
    <w:rsid w:val="00C03E23"/>
    <w:rsid w:val="00C16AE1"/>
    <w:rsid w:val="00C17E92"/>
    <w:rsid w:val="00C21FDE"/>
    <w:rsid w:val="00C3350B"/>
    <w:rsid w:val="00C51300"/>
    <w:rsid w:val="00C5567B"/>
    <w:rsid w:val="00C61751"/>
    <w:rsid w:val="00C832F3"/>
    <w:rsid w:val="00C92371"/>
    <w:rsid w:val="00C945A4"/>
    <w:rsid w:val="00D15922"/>
    <w:rsid w:val="00D3744F"/>
    <w:rsid w:val="00D41A94"/>
    <w:rsid w:val="00D53AD7"/>
    <w:rsid w:val="00D9250E"/>
    <w:rsid w:val="00DA5546"/>
    <w:rsid w:val="00DB0886"/>
    <w:rsid w:val="00DB5099"/>
    <w:rsid w:val="00DF1D80"/>
    <w:rsid w:val="00DF6E56"/>
    <w:rsid w:val="00E01EA2"/>
    <w:rsid w:val="00E07235"/>
    <w:rsid w:val="00E42402"/>
    <w:rsid w:val="00E51826"/>
    <w:rsid w:val="00E545A6"/>
    <w:rsid w:val="00E91635"/>
    <w:rsid w:val="00EC7E19"/>
    <w:rsid w:val="00EE29B6"/>
    <w:rsid w:val="00EF7044"/>
    <w:rsid w:val="00EF77F5"/>
    <w:rsid w:val="00F01BBB"/>
    <w:rsid w:val="00F02323"/>
    <w:rsid w:val="00F1465E"/>
    <w:rsid w:val="00F2236B"/>
    <w:rsid w:val="00F2252C"/>
    <w:rsid w:val="00F230F9"/>
    <w:rsid w:val="00F47F98"/>
    <w:rsid w:val="00F80801"/>
    <w:rsid w:val="00F824E6"/>
    <w:rsid w:val="00FA44D8"/>
    <w:rsid w:val="00FA6EB2"/>
    <w:rsid w:val="00FB7287"/>
    <w:rsid w:val="00FC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  <w:style w:type="character" w:customStyle="1" w:styleId="10">
    <w:name w:val="Основной шрифт абзаца1"/>
    <w:uiPriority w:val="99"/>
    <w:qFormat/>
    <w:rsid w:val="00AA525D"/>
  </w:style>
  <w:style w:type="character" w:customStyle="1" w:styleId="FontStyle42">
    <w:name w:val="Font Style42"/>
    <w:basedOn w:val="a0"/>
    <w:qFormat/>
    <w:rsid w:val="00DA5546"/>
    <w:rPr>
      <w:rFonts w:ascii="Times New Roman" w:hAnsi="Times New Roman" w:cs="Times New Roman"/>
      <w:sz w:val="26"/>
      <w:szCs w:val="26"/>
    </w:rPr>
  </w:style>
  <w:style w:type="paragraph" w:customStyle="1" w:styleId="-11">
    <w:name w:val="Цветной список - Акцент 11"/>
    <w:basedOn w:val="a"/>
    <w:uiPriority w:val="99"/>
    <w:qFormat/>
    <w:rsid w:val="00DA5546"/>
    <w:pPr>
      <w:suppressAutoHyphens/>
      <w:ind w:left="720"/>
    </w:pPr>
    <w:rPr>
      <w:rFonts w:ascii="Calibri" w:eastAsia="Calibri" w:hAnsi="Calibri" w:cs="Calibri"/>
      <w:color w:val="00000A"/>
      <w:lang w:eastAsia="zh-CN"/>
    </w:rPr>
  </w:style>
  <w:style w:type="character" w:customStyle="1" w:styleId="FooterChar1">
    <w:name w:val="Footer Char1"/>
    <w:basedOn w:val="a0"/>
    <w:uiPriority w:val="99"/>
    <w:semiHidden/>
    <w:qFormat/>
    <w:rsid w:val="00366309"/>
    <w:rPr>
      <w:color w:val="00000A"/>
      <w:lang w:eastAsia="en-US"/>
    </w:rPr>
  </w:style>
  <w:style w:type="paragraph" w:customStyle="1" w:styleId="Style15">
    <w:name w:val="Style15"/>
    <w:basedOn w:val="a"/>
    <w:uiPriority w:val="99"/>
    <w:qFormat/>
    <w:rsid w:val="00366309"/>
    <w:pPr>
      <w:suppressAutoHyphens/>
      <w:spacing w:after="160" w:line="180" w:lineRule="exact"/>
      <w:jc w:val="center"/>
    </w:pPr>
    <w:rPr>
      <w:rFonts w:ascii="Calibri" w:eastAsia="Calibri" w:hAnsi="Calibri" w:cs="Calibri"/>
      <w:color w:val="00000A"/>
    </w:rPr>
  </w:style>
  <w:style w:type="paragraph" w:customStyle="1" w:styleId="ConsPlusCell">
    <w:name w:val="ConsPlusCel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FontStyle72">
    <w:name w:val="Font Style72"/>
    <w:basedOn w:val="a0"/>
    <w:uiPriority w:val="99"/>
    <w:qFormat/>
    <w:rsid w:val="00BD5B81"/>
    <w:rPr>
      <w:rFonts w:ascii="Arial" w:hAnsi="Arial" w:cs="Arial"/>
      <w:sz w:val="16"/>
      <w:szCs w:val="16"/>
    </w:rPr>
  </w:style>
  <w:style w:type="paragraph" w:customStyle="1" w:styleId="Style21">
    <w:name w:val="Style21"/>
    <w:basedOn w:val="a"/>
    <w:uiPriority w:val="99"/>
    <w:qFormat/>
    <w:rsid w:val="00BD5B81"/>
    <w:pPr>
      <w:widowControl w:val="0"/>
      <w:spacing w:after="0" w:line="240" w:lineRule="auto"/>
    </w:pPr>
    <w:rPr>
      <w:rFonts w:ascii="Calibri" w:eastAsia="Calibri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9A8-BF1E-4A28-93EB-474A2829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Pankratova</cp:lastModifiedBy>
  <cp:revision>48</cp:revision>
  <cp:lastPrinted>2022-10-20T06:14:00Z</cp:lastPrinted>
  <dcterms:created xsi:type="dcterms:W3CDTF">2022-03-25T07:58:00Z</dcterms:created>
  <dcterms:modified xsi:type="dcterms:W3CDTF">2022-11-07T04:28:00Z</dcterms:modified>
</cp:coreProperties>
</file>